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pStyle w:val="11"/>
        <w:jc w:val="center"/>
        <w:rPr>
          <w:rFonts w:asciiTheme="majorEastAsia" w:hAnsiTheme="majorEastAsia"/>
          <w:b/>
          <w:bCs/>
          <w:sz w:val="44"/>
          <w:szCs w:val="44"/>
        </w:rPr>
      </w:pPr>
    </w:p>
    <w:p>
      <w:pPr>
        <w:pStyle w:val="11"/>
        <w:jc w:val="center"/>
        <w:rPr>
          <w:rFonts w:asciiTheme="majorEastAsia" w:hAnsiTheme="majorEastAsia"/>
          <w:b/>
          <w:bCs/>
          <w:sz w:val="44"/>
          <w:szCs w:val="44"/>
        </w:rPr>
      </w:pPr>
    </w:p>
    <w:p>
      <w:pPr>
        <w:widowControl/>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华能海南昌江</w:t>
      </w:r>
      <w:r>
        <w:rPr>
          <w:rFonts w:ascii="方正小标宋简体" w:hAnsi="方正小标宋简体" w:eastAsia="方正小标宋简体" w:cs="方正小标宋简体"/>
          <w:sz w:val="44"/>
          <w:szCs w:val="44"/>
        </w:rPr>
        <w:t>核电有限公司</w:t>
      </w:r>
    </w:p>
    <w:p>
      <w:pPr>
        <w:widowControl/>
        <w:spacing w:before="163" w:beforeLines="50"/>
        <w:jc w:val="center"/>
        <w:rPr>
          <w:rFonts w:ascii="方正小标宋简体" w:hAnsi="方正小标宋简体" w:eastAsia="方正小标宋简体" w:cs="方正小标宋简体"/>
          <w:sz w:val="44"/>
          <w:szCs w:val="44"/>
        </w:rPr>
      </w:pPr>
      <w:bookmarkStart w:id="0" w:name="_Toc12732"/>
      <w:r>
        <w:rPr>
          <w:rFonts w:hint="eastAsia" w:ascii="方正小标宋简体" w:hAnsi="方正小标宋简体" w:eastAsia="方正小标宋简体" w:cs="方正小标宋简体"/>
          <w:sz w:val="44"/>
          <w:szCs w:val="44"/>
        </w:rPr>
        <w:t>智能安全移动办公平台采购技术规格书</w:t>
      </w:r>
      <w:bookmarkEnd w:id="0"/>
    </w:p>
    <w:p>
      <w:pPr>
        <w:widowControl/>
        <w:spacing w:line="460" w:lineRule="exact"/>
        <w:jc w:val="center"/>
        <w:rPr>
          <w:rFonts w:ascii="Times New Roman" w:hAnsi="Times New Roman" w:eastAsia="宋体"/>
          <w:b/>
          <w:sz w:val="44"/>
          <w:szCs w:val="44"/>
        </w:rPr>
      </w:pPr>
    </w:p>
    <w:p>
      <w:pPr>
        <w:widowControl/>
        <w:spacing w:line="460" w:lineRule="exact"/>
        <w:jc w:val="center"/>
        <w:rPr>
          <w:rFonts w:ascii="Times New Roman" w:hAnsi="Times New Roman" w:eastAsia="宋体"/>
          <w:b/>
          <w:sz w:val="32"/>
          <w:szCs w:val="32"/>
        </w:rPr>
      </w:pPr>
    </w:p>
    <w:p>
      <w:pPr>
        <w:widowControl/>
        <w:spacing w:line="460" w:lineRule="exact"/>
        <w:jc w:val="center"/>
        <w:rPr>
          <w:rFonts w:ascii="Times New Roman" w:hAnsi="Times New Roman" w:eastAsia="宋体"/>
          <w:b/>
          <w:sz w:val="32"/>
          <w:szCs w:val="32"/>
        </w:rPr>
      </w:pPr>
    </w:p>
    <w:p>
      <w:pPr>
        <w:widowControl/>
        <w:spacing w:line="460" w:lineRule="exact"/>
        <w:jc w:val="center"/>
        <w:rPr>
          <w:rFonts w:ascii="Times New Roman" w:hAnsi="Times New Roman" w:eastAsia="宋体"/>
          <w:b/>
          <w:sz w:val="32"/>
          <w:szCs w:val="32"/>
        </w:rPr>
      </w:pPr>
    </w:p>
    <w:p>
      <w:pPr>
        <w:widowControl/>
        <w:spacing w:line="460" w:lineRule="exact"/>
        <w:rPr>
          <w:rFonts w:ascii="Times New Roman" w:hAnsi="Times New Roman" w:eastAsia="宋体"/>
          <w:b/>
          <w:sz w:val="32"/>
          <w:szCs w:val="32"/>
        </w:rPr>
      </w:pPr>
    </w:p>
    <w:p>
      <w:pPr>
        <w:widowControl/>
        <w:spacing w:line="460" w:lineRule="exact"/>
        <w:rPr>
          <w:rFonts w:ascii="Times New Roman" w:hAnsi="Times New Roman" w:eastAsia="宋体"/>
          <w:b/>
          <w:sz w:val="32"/>
          <w:szCs w:val="32"/>
        </w:rPr>
      </w:pPr>
    </w:p>
    <w:p>
      <w:pPr>
        <w:widowControl/>
        <w:spacing w:line="460" w:lineRule="exact"/>
        <w:jc w:val="center"/>
        <w:rPr>
          <w:rFonts w:ascii="Times New Roman" w:hAnsi="Times New Roman" w:eastAsia="宋体"/>
          <w:b/>
          <w:sz w:val="32"/>
          <w:szCs w:val="32"/>
        </w:rPr>
      </w:pPr>
    </w:p>
    <w:p>
      <w:pPr>
        <w:widowControl/>
        <w:spacing w:line="460" w:lineRule="exact"/>
        <w:jc w:val="center"/>
        <w:rPr>
          <w:rFonts w:ascii="Times New Roman" w:hAnsi="Times New Roman" w:eastAsia="宋体"/>
          <w:b/>
          <w:sz w:val="32"/>
          <w:szCs w:val="32"/>
        </w:rPr>
      </w:pPr>
    </w:p>
    <w:p>
      <w:pPr>
        <w:widowControl/>
        <w:spacing w:line="460" w:lineRule="exact"/>
        <w:jc w:val="center"/>
        <w:rPr>
          <w:rFonts w:ascii="Times New Roman" w:hAnsi="Times New Roman" w:eastAsia="宋体"/>
          <w:b/>
          <w:sz w:val="32"/>
          <w:szCs w:val="32"/>
        </w:rPr>
      </w:pPr>
    </w:p>
    <w:p>
      <w:pPr>
        <w:widowControl/>
        <w:spacing w:line="360" w:lineRule="auto"/>
        <w:jc w:val="center"/>
        <w:rPr>
          <w:rFonts w:ascii="Times New Roman" w:hAnsi="Times New Roman" w:eastAsia="宋体"/>
          <w:b/>
          <w:sz w:val="32"/>
          <w:szCs w:val="32"/>
        </w:rPr>
      </w:pPr>
    </w:p>
    <w:p>
      <w:pPr>
        <w:widowControl/>
        <w:spacing w:line="360" w:lineRule="auto"/>
        <w:jc w:val="center"/>
        <w:outlineLvl w:val="0"/>
        <w:rPr>
          <w:rFonts w:ascii="Times New Roman" w:hAnsi="Times New Roman" w:eastAsia="宋体"/>
          <w:b/>
          <w:sz w:val="32"/>
          <w:szCs w:val="32"/>
        </w:rPr>
      </w:pPr>
      <w:bookmarkStart w:id="1" w:name="_Toc4327"/>
      <w:r>
        <w:rPr>
          <w:rFonts w:ascii="Times New Roman" w:hAnsi="Times New Roman" w:eastAsia="宋体"/>
          <w:b/>
          <w:sz w:val="32"/>
          <w:szCs w:val="32"/>
        </w:rPr>
        <w:t>批准：        日期：</w:t>
      </w:r>
      <w:bookmarkEnd w:id="1"/>
    </w:p>
    <w:p>
      <w:pPr>
        <w:widowControl/>
        <w:spacing w:line="360" w:lineRule="auto"/>
        <w:jc w:val="center"/>
        <w:outlineLvl w:val="0"/>
        <w:rPr>
          <w:rFonts w:ascii="Times New Roman" w:hAnsi="Times New Roman" w:eastAsia="宋体"/>
          <w:b/>
          <w:sz w:val="32"/>
          <w:szCs w:val="32"/>
        </w:rPr>
      </w:pPr>
      <w:bookmarkStart w:id="2" w:name="_Toc22986"/>
      <w:r>
        <w:rPr>
          <w:rFonts w:ascii="Times New Roman" w:hAnsi="Times New Roman" w:eastAsia="宋体"/>
          <w:b/>
          <w:sz w:val="32"/>
          <w:szCs w:val="32"/>
        </w:rPr>
        <w:t>会签：        日期：</w:t>
      </w:r>
      <w:bookmarkEnd w:id="2"/>
    </w:p>
    <w:p>
      <w:pPr>
        <w:widowControl/>
        <w:spacing w:line="360" w:lineRule="auto"/>
        <w:jc w:val="center"/>
        <w:outlineLvl w:val="0"/>
        <w:rPr>
          <w:rFonts w:ascii="Times New Roman" w:hAnsi="Times New Roman" w:eastAsia="宋体"/>
          <w:b/>
          <w:sz w:val="32"/>
          <w:szCs w:val="32"/>
        </w:rPr>
      </w:pPr>
      <w:bookmarkStart w:id="3" w:name="_Toc15560"/>
      <w:r>
        <w:rPr>
          <w:rFonts w:ascii="Times New Roman" w:hAnsi="Times New Roman" w:eastAsia="宋体"/>
          <w:b/>
          <w:sz w:val="32"/>
          <w:szCs w:val="32"/>
        </w:rPr>
        <w:t>审核：        日期：</w:t>
      </w:r>
      <w:bookmarkEnd w:id="3"/>
    </w:p>
    <w:p>
      <w:pPr>
        <w:widowControl/>
        <w:spacing w:line="360" w:lineRule="auto"/>
        <w:jc w:val="center"/>
        <w:outlineLvl w:val="0"/>
        <w:rPr>
          <w:rFonts w:ascii="Times New Roman" w:hAnsi="Times New Roman" w:eastAsia="宋体"/>
          <w:b/>
          <w:sz w:val="32"/>
          <w:szCs w:val="32"/>
        </w:rPr>
      </w:pPr>
      <w:bookmarkStart w:id="4" w:name="_Toc653"/>
      <w:r>
        <w:rPr>
          <w:rFonts w:ascii="Times New Roman" w:hAnsi="Times New Roman" w:eastAsia="宋体"/>
          <w:b/>
          <w:sz w:val="32"/>
          <w:szCs w:val="32"/>
        </w:rPr>
        <w:t>编制：        日期：</w:t>
      </w:r>
      <w:bookmarkEnd w:id="4"/>
    </w:p>
    <w:p>
      <w:pPr>
        <w:widowControl/>
        <w:spacing w:line="460" w:lineRule="exact"/>
        <w:jc w:val="center"/>
        <w:outlineLvl w:val="0"/>
        <w:rPr>
          <w:rFonts w:ascii="Times New Roman" w:hAnsi="Times New Roman" w:eastAsia="宋体"/>
          <w:b/>
          <w:sz w:val="32"/>
          <w:szCs w:val="32"/>
        </w:rPr>
      </w:pPr>
    </w:p>
    <w:p>
      <w:pPr>
        <w:widowControl/>
        <w:spacing w:line="460" w:lineRule="exact"/>
        <w:jc w:val="center"/>
        <w:outlineLvl w:val="0"/>
        <w:rPr>
          <w:rFonts w:ascii="Times New Roman" w:hAnsi="Times New Roman" w:eastAsia="宋体"/>
          <w:b/>
          <w:sz w:val="32"/>
          <w:szCs w:val="32"/>
        </w:rPr>
      </w:pPr>
      <w:bookmarkStart w:id="5" w:name="_Toc11763"/>
      <w:r>
        <w:rPr>
          <w:rFonts w:ascii="Times New Roman" w:hAnsi="Times New Roman" w:eastAsia="宋体"/>
          <w:b/>
          <w:sz w:val="32"/>
          <w:szCs w:val="32"/>
        </w:rPr>
        <w:t>华能海南昌江核电有限公司</w:t>
      </w:r>
      <w:bookmarkEnd w:id="5"/>
    </w:p>
    <w:p>
      <w:pPr>
        <w:widowControl/>
        <w:spacing w:line="460" w:lineRule="exact"/>
        <w:jc w:val="center"/>
        <w:outlineLvl w:val="0"/>
        <w:rPr>
          <w:rFonts w:ascii="Times New Roman" w:hAnsi="Times New Roman" w:eastAsia="宋体"/>
          <w:bCs/>
          <w:szCs w:val="21"/>
        </w:rPr>
      </w:pPr>
      <w:bookmarkStart w:id="6" w:name="_Toc6858"/>
      <w:r>
        <w:rPr>
          <w:rFonts w:ascii="Times New Roman" w:hAnsi="Times New Roman" w:eastAsia="宋体"/>
          <w:b/>
          <w:sz w:val="32"/>
          <w:szCs w:val="32"/>
        </w:rPr>
        <w:t>2021年</w:t>
      </w:r>
      <w:r>
        <w:rPr>
          <w:rFonts w:hint="eastAsia" w:ascii="Times New Roman" w:hAnsi="Times New Roman" w:eastAsia="宋体"/>
          <w:b/>
          <w:sz w:val="32"/>
          <w:szCs w:val="32"/>
        </w:rPr>
        <w:t>10</w:t>
      </w:r>
      <w:r>
        <w:rPr>
          <w:rFonts w:ascii="Times New Roman" w:hAnsi="Times New Roman" w:eastAsia="宋体"/>
          <w:b/>
          <w:sz w:val="32"/>
          <w:szCs w:val="32"/>
        </w:rPr>
        <w:t>月</w:t>
      </w:r>
      <w:bookmarkEnd w:id="6"/>
    </w:p>
    <w:p>
      <w:pPr>
        <w:widowControl/>
        <w:adjustRightInd/>
        <w:spacing w:line="240" w:lineRule="auto"/>
        <w:jc w:val="left"/>
        <w:textAlignment w:val="auto"/>
        <w:rPr>
          <w:rFonts w:ascii="宋体" w:hAnsi="宋体"/>
          <w:b/>
          <w:bCs/>
          <w:sz w:val="32"/>
          <w:szCs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558" w:bottom="1440" w:left="1800" w:header="850" w:footer="992" w:gutter="0"/>
          <w:pgNumType w:start="1"/>
          <w:cols w:space="425" w:num="1"/>
          <w:titlePg/>
          <w:docGrid w:type="lines" w:linePitch="326" w:charSpace="0"/>
        </w:sectPr>
      </w:pPr>
    </w:p>
    <w:p>
      <w:pPr>
        <w:adjustRightInd/>
        <w:spacing w:before="97" w:beforeLines="30" w:after="97" w:afterLines="30" w:line="360" w:lineRule="auto"/>
        <w:textAlignment w:val="auto"/>
        <w:outlineLvl w:val="0"/>
        <w:rPr>
          <w:rFonts w:ascii="黑体" w:hAnsi="黑体" w:eastAsia="黑体"/>
          <w:b/>
          <w:bCs/>
          <w:color w:val="auto"/>
          <w:sz w:val="32"/>
          <w:szCs w:val="32"/>
        </w:rPr>
      </w:pPr>
      <w:r>
        <w:rPr>
          <w:rFonts w:hint="eastAsia" w:ascii="黑体" w:hAnsi="黑体" w:eastAsia="黑体"/>
          <w:b/>
          <w:bCs/>
          <w:color w:val="auto"/>
          <w:sz w:val="32"/>
          <w:szCs w:val="32"/>
        </w:rPr>
        <w:t>1</w:t>
      </w:r>
      <w:r>
        <w:rPr>
          <w:rFonts w:ascii="黑体" w:hAnsi="黑体" w:eastAsia="黑体"/>
          <w:b/>
          <w:bCs/>
          <w:color w:val="auto"/>
          <w:sz w:val="32"/>
          <w:szCs w:val="32"/>
        </w:rPr>
        <w:t>.项目概述</w:t>
      </w:r>
    </w:p>
    <w:p>
      <w:pPr>
        <w:pStyle w:val="3"/>
        <w:keepNext w:val="0"/>
        <w:keepLines w:val="0"/>
        <w:widowControl w:val="0"/>
        <w:tabs>
          <w:tab w:val="left" w:pos="527"/>
        </w:tabs>
        <w:adjustRightInd w:val="0"/>
        <w:spacing w:line="560" w:lineRule="exact"/>
        <w:contextualSpacing/>
        <w:jc w:val="both"/>
        <w:rPr>
          <w:rFonts w:ascii="楷体_GB2312" w:eastAsia="楷体_GB2312"/>
          <w:b/>
          <w:color w:val="auto"/>
          <w:sz w:val="30"/>
          <w:szCs w:val="30"/>
        </w:rPr>
      </w:pPr>
      <w:r>
        <w:rPr>
          <w:rFonts w:hint="eastAsia" w:ascii="楷体_GB2312" w:eastAsia="楷体_GB2312"/>
          <w:b/>
          <w:color w:val="auto"/>
          <w:sz w:val="30"/>
          <w:szCs w:val="30"/>
        </w:rPr>
        <w:t>1</w:t>
      </w:r>
      <w:r>
        <w:rPr>
          <w:rFonts w:ascii="楷体_GB2312" w:eastAsia="楷体_GB2312"/>
          <w:b/>
          <w:color w:val="auto"/>
          <w:sz w:val="30"/>
          <w:szCs w:val="30"/>
        </w:rPr>
        <w:t>.1</w:t>
      </w:r>
      <w:r>
        <w:rPr>
          <w:rFonts w:hint="eastAsia" w:ascii="楷体_GB2312" w:eastAsia="楷体_GB2312"/>
          <w:b/>
          <w:color w:val="auto"/>
          <w:sz w:val="30"/>
          <w:szCs w:val="30"/>
        </w:rPr>
        <w:t>项目背景</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华能海南昌江核电有限公司（以下简称“采购方”）位于海南省昌江黎族自治县海尾镇塘兴村，负责昌江核电二期工程项目建设和运营，昌江核电二期工程规划建设两台1</w:t>
      </w:r>
      <w:r>
        <w:rPr>
          <w:rFonts w:ascii="仿宋_GB2312" w:hAnsi="宋体" w:eastAsia="仿宋_GB2312"/>
          <w:color w:val="auto"/>
          <w:sz w:val="30"/>
          <w:szCs w:val="30"/>
        </w:rPr>
        <w:t>20</w:t>
      </w:r>
      <w:r>
        <w:rPr>
          <w:rFonts w:hint="eastAsia" w:ascii="仿宋_GB2312" w:hAnsi="宋体" w:eastAsia="仿宋_GB2312"/>
          <w:color w:val="auto"/>
          <w:sz w:val="30"/>
          <w:szCs w:val="30"/>
        </w:rPr>
        <w:t>万千瓦核电机组，采用具有我国自主知识产权的“华龙一号”技术方案，昌江核电二期工程于2</w:t>
      </w:r>
      <w:r>
        <w:rPr>
          <w:rFonts w:ascii="仿宋_GB2312" w:hAnsi="宋体" w:eastAsia="仿宋_GB2312"/>
          <w:color w:val="auto"/>
          <w:sz w:val="30"/>
          <w:szCs w:val="30"/>
        </w:rPr>
        <w:t>021</w:t>
      </w:r>
      <w:r>
        <w:rPr>
          <w:rFonts w:hint="eastAsia" w:ascii="仿宋_GB2312" w:hAnsi="宋体" w:eastAsia="仿宋_GB2312"/>
          <w:color w:val="auto"/>
          <w:sz w:val="30"/>
          <w:szCs w:val="30"/>
        </w:rPr>
        <w:t>年3月3</w:t>
      </w:r>
      <w:r>
        <w:rPr>
          <w:rFonts w:ascii="仿宋_GB2312" w:hAnsi="宋体" w:eastAsia="仿宋_GB2312"/>
          <w:color w:val="auto"/>
          <w:sz w:val="30"/>
          <w:szCs w:val="30"/>
        </w:rPr>
        <w:t>1</w:t>
      </w:r>
      <w:r>
        <w:rPr>
          <w:rFonts w:hint="eastAsia" w:ascii="仿宋_GB2312" w:hAnsi="宋体" w:eastAsia="仿宋_GB2312"/>
          <w:color w:val="auto"/>
          <w:sz w:val="30"/>
          <w:szCs w:val="30"/>
        </w:rPr>
        <w:t>日正式开工建设。</w:t>
      </w:r>
    </w:p>
    <w:p>
      <w:pPr>
        <w:ind w:firstLine="600" w:firstLineChars="200"/>
        <w:rPr>
          <w:rFonts w:ascii="仿宋_GB2312" w:hAnsi="仿宋_GB2312" w:eastAsia="仿宋_GB2312" w:cs="仿宋_GB2312"/>
          <w:color w:val="auto"/>
          <w:sz w:val="30"/>
          <w:szCs w:val="30"/>
        </w:rPr>
      </w:pPr>
      <w:r>
        <w:rPr>
          <w:rFonts w:hint="eastAsia" w:ascii="仿宋_GB2312" w:hAnsi="宋体" w:eastAsia="仿宋_GB2312"/>
          <w:color w:val="auto"/>
          <w:sz w:val="30"/>
          <w:szCs w:val="30"/>
        </w:rPr>
        <w:t>为了满足昌江核电二期工程项目管理信息化需求，目前采购方已建立了一套比较完整的内网应用系统，包括</w:t>
      </w:r>
      <w:r>
        <w:rPr>
          <w:rFonts w:hint="eastAsia" w:ascii="仿宋_GB2312" w:hAnsi="仿宋_GB2312" w:eastAsia="仿宋_GB2312" w:cs="仿宋_GB2312"/>
          <w:color w:val="auto"/>
          <w:sz w:val="30"/>
          <w:szCs w:val="30"/>
        </w:rPr>
        <w:t>OA系统、邮件系统、综合管理系统、核电E</w:t>
      </w:r>
      <w:r>
        <w:rPr>
          <w:rFonts w:ascii="仿宋_GB2312" w:hAnsi="仿宋_GB2312" w:eastAsia="仿宋_GB2312" w:cs="仿宋_GB2312"/>
          <w:color w:val="auto"/>
          <w:sz w:val="30"/>
          <w:szCs w:val="30"/>
        </w:rPr>
        <w:t>RP系统、网上报销系统</w:t>
      </w:r>
      <w:r>
        <w:rPr>
          <w:rFonts w:hint="eastAsia" w:ascii="仿宋_GB2312" w:hAnsi="仿宋_GB2312" w:eastAsia="仿宋_GB2312" w:cs="仿宋_GB2312"/>
          <w:color w:val="auto"/>
          <w:sz w:val="30"/>
          <w:szCs w:val="30"/>
        </w:rPr>
        <w:t>、核电一体化辅助系统、法务系统、物资管理系统、风险管理系统和内网统一门户系统，并建立了内网统一门户系统与各应用系统的单点集成，实现了各业务系统工作任务的统一管理。</w:t>
      </w:r>
    </w:p>
    <w:p>
      <w:pPr>
        <w:ind w:firstLine="600" w:firstLineChars="200"/>
        <w:rPr>
          <w:rFonts w:ascii="仿宋_GB2312" w:hAnsi="宋体" w:eastAsia="仿宋_GB2312"/>
          <w:color w:val="auto"/>
          <w:sz w:val="30"/>
          <w:szCs w:val="30"/>
        </w:rPr>
      </w:pPr>
      <w:r>
        <w:rPr>
          <w:rFonts w:hint="eastAsia" w:ascii="仿宋_GB2312" w:hAnsi="仿宋_GB2312" w:eastAsia="仿宋_GB2312" w:cs="仿宋_GB2312"/>
          <w:color w:val="auto"/>
          <w:sz w:val="30"/>
          <w:szCs w:val="30"/>
        </w:rPr>
        <w:t>根据昌江核电二期工程项目建设管理的特点，采购方各级管理人员经常出差或在外网办公，需要从互联网访问内网业务，对移动办公具有紧迫的现实需求，采购方需要建设一套智能安全移动办公平台，满足项目管理人员安全高效移动办公需求。</w:t>
      </w:r>
    </w:p>
    <w:p>
      <w:pPr>
        <w:pStyle w:val="3"/>
        <w:keepNext w:val="0"/>
        <w:keepLines w:val="0"/>
        <w:widowControl w:val="0"/>
        <w:tabs>
          <w:tab w:val="left" w:pos="527"/>
        </w:tabs>
        <w:adjustRightInd w:val="0"/>
        <w:spacing w:line="560" w:lineRule="exact"/>
        <w:contextualSpacing/>
        <w:jc w:val="both"/>
        <w:rPr>
          <w:rFonts w:ascii="楷体_GB2312" w:eastAsia="楷体_GB2312"/>
          <w:b/>
          <w:color w:val="auto"/>
          <w:sz w:val="30"/>
          <w:szCs w:val="30"/>
        </w:rPr>
      </w:pPr>
      <w:r>
        <w:rPr>
          <w:rFonts w:hint="eastAsia" w:ascii="楷体_GB2312" w:eastAsia="楷体_GB2312"/>
          <w:b/>
          <w:color w:val="auto"/>
          <w:sz w:val="30"/>
          <w:szCs w:val="30"/>
        </w:rPr>
        <w:t>1</w:t>
      </w:r>
      <w:r>
        <w:rPr>
          <w:rFonts w:ascii="楷体_GB2312" w:eastAsia="楷体_GB2312"/>
          <w:b/>
          <w:color w:val="auto"/>
          <w:sz w:val="30"/>
          <w:szCs w:val="30"/>
        </w:rPr>
        <w:t>.2</w:t>
      </w:r>
      <w:r>
        <w:rPr>
          <w:rFonts w:hint="eastAsia" w:ascii="楷体_GB2312" w:eastAsia="楷体_GB2312"/>
          <w:b/>
          <w:color w:val="auto"/>
          <w:sz w:val="30"/>
          <w:szCs w:val="30"/>
        </w:rPr>
        <w:t>移动办公需求</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目前采购方按照集团公司双网隔离的安全政策要求，建立了内网与外网隔离的“双网”架构。从互联网访问内网业务系统将增加内网业务暴露在互联网的风险，因此，需要建立一套安全高效的通过互联网访问内网的移动办公系统。</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经过对目前市场上技术路线比较前沿和成熟的移动办公技术和解决方案进行调研和测试，拟采用“PC沙箱+零信任安全网关”一体化技术方案，建立移动办公平台，能够全面解决移动办公过程中的各类安全问题。</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通过PC沙箱技术构建安全工作空间，提供安全可控的数据隔离和控制方案，确保内网应用产生的所有数据将会被加密保存在PC端沙箱内，无实际数据落地到个人终端。针对移动办公的操作行为进行限制，可对沙箱内的应用进行操作控制，如水印控制</w:t>
      </w:r>
      <w:r>
        <w:rPr>
          <w:rFonts w:hint="eastAsia" w:ascii="仿宋_GB2312" w:hAnsi="宋体" w:eastAsia="仿宋_GB2312"/>
          <w:sz w:val="30"/>
          <w:szCs w:val="30"/>
        </w:rPr>
        <w:t>、截屏控制、</w:t>
      </w:r>
      <w:r>
        <w:rPr>
          <w:rFonts w:hint="eastAsia" w:ascii="仿宋_GB2312" w:hAnsi="宋体" w:eastAsia="仿宋_GB2312"/>
          <w:color w:val="auto"/>
          <w:sz w:val="30"/>
          <w:szCs w:val="30"/>
        </w:rPr>
        <w:t>网络控制、打印控制、数据隔离、双因子身份认证、传输隧道加密、操作审计等，防止终端上的数据泄露。通过以零信任接入技术，提供数据传输隧道加密，对移动办公业务应用数据流转的全链路进行有效管控，降低敏感应用数据在通信传输环节发生泄露的风险。</w:t>
      </w:r>
    </w:p>
    <w:p>
      <w:pPr>
        <w:pStyle w:val="3"/>
        <w:keepNext w:val="0"/>
        <w:keepLines w:val="0"/>
        <w:widowControl w:val="0"/>
        <w:tabs>
          <w:tab w:val="left" w:pos="527"/>
        </w:tabs>
        <w:adjustRightInd w:val="0"/>
        <w:spacing w:line="560" w:lineRule="exact"/>
        <w:contextualSpacing/>
        <w:jc w:val="both"/>
        <w:rPr>
          <w:rFonts w:ascii="楷体_GB2312" w:eastAsia="楷体_GB2312"/>
          <w:b/>
          <w:color w:val="auto"/>
          <w:sz w:val="30"/>
          <w:szCs w:val="30"/>
        </w:rPr>
      </w:pPr>
      <w:r>
        <w:rPr>
          <w:rFonts w:hint="eastAsia" w:ascii="楷体_GB2312" w:eastAsia="楷体_GB2312"/>
          <w:b/>
          <w:color w:val="auto"/>
          <w:sz w:val="30"/>
          <w:szCs w:val="30"/>
        </w:rPr>
        <w:t>1</w:t>
      </w:r>
      <w:r>
        <w:rPr>
          <w:rFonts w:ascii="楷体_GB2312" w:eastAsia="楷体_GB2312"/>
          <w:b/>
          <w:color w:val="auto"/>
          <w:sz w:val="30"/>
          <w:szCs w:val="30"/>
        </w:rPr>
        <w:t>.3标准与偏差</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实施方</w:t>
      </w:r>
      <w:r>
        <w:rPr>
          <w:rFonts w:ascii="仿宋_GB2312" w:hAnsi="宋体" w:eastAsia="仿宋_GB2312"/>
          <w:color w:val="auto"/>
          <w:sz w:val="30"/>
          <w:szCs w:val="30"/>
        </w:rPr>
        <w:t>需执行本规范书所列要求、标准，本规范书未提及的内容，则应满足或优于相关国家标准、电力行业标准等，有矛盾</w:t>
      </w:r>
      <w:r>
        <w:rPr>
          <w:rFonts w:hint="eastAsia" w:ascii="仿宋_GB2312" w:hAnsi="宋体" w:eastAsia="仿宋_GB2312"/>
          <w:color w:val="auto"/>
          <w:sz w:val="30"/>
          <w:szCs w:val="30"/>
        </w:rPr>
        <w:t>时</w:t>
      </w:r>
      <w:r>
        <w:rPr>
          <w:rFonts w:ascii="仿宋_GB2312" w:hAnsi="宋体" w:eastAsia="仿宋_GB2312"/>
          <w:color w:val="auto"/>
          <w:sz w:val="30"/>
          <w:szCs w:val="30"/>
        </w:rPr>
        <w:t>，按较高标准执行。所有标准都会被修订，</w:t>
      </w:r>
      <w:r>
        <w:rPr>
          <w:rFonts w:hint="eastAsia" w:ascii="仿宋_GB2312" w:hAnsi="宋体" w:eastAsia="仿宋_GB2312"/>
          <w:color w:val="auto"/>
          <w:sz w:val="30"/>
          <w:szCs w:val="30"/>
        </w:rPr>
        <w:t>实施方</w:t>
      </w:r>
      <w:r>
        <w:rPr>
          <w:rFonts w:ascii="仿宋_GB2312" w:hAnsi="宋体" w:eastAsia="仿宋_GB2312"/>
          <w:color w:val="auto"/>
          <w:sz w:val="30"/>
          <w:szCs w:val="30"/>
        </w:rPr>
        <w:t>应执行最新版本。</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实施方</w:t>
      </w:r>
      <w:r>
        <w:rPr>
          <w:rFonts w:ascii="仿宋_GB2312" w:hAnsi="宋体" w:eastAsia="仿宋_GB2312"/>
          <w:color w:val="auto"/>
          <w:sz w:val="30"/>
          <w:szCs w:val="30"/>
        </w:rPr>
        <w:t>如对本规范书有偏差（无论多少）都必须清楚地表示在“差异表”中，否则采购方认为</w:t>
      </w:r>
      <w:r>
        <w:rPr>
          <w:rFonts w:hint="eastAsia" w:ascii="仿宋_GB2312" w:hAnsi="宋体" w:eastAsia="仿宋_GB2312"/>
          <w:color w:val="auto"/>
          <w:sz w:val="30"/>
          <w:szCs w:val="30"/>
        </w:rPr>
        <w:t>实施方</w:t>
      </w:r>
      <w:r>
        <w:rPr>
          <w:rFonts w:ascii="仿宋_GB2312" w:hAnsi="宋体" w:eastAsia="仿宋_GB2312"/>
          <w:color w:val="auto"/>
          <w:sz w:val="30"/>
          <w:szCs w:val="30"/>
        </w:rPr>
        <w:t>完全接受和同意本规范书的要求。</w:t>
      </w:r>
      <w:r>
        <w:rPr>
          <w:rFonts w:hint="eastAsia" w:ascii="仿宋_GB2312" w:hAnsi="宋体" w:eastAsia="仿宋_GB2312"/>
          <w:color w:val="auto"/>
          <w:sz w:val="30"/>
          <w:szCs w:val="30"/>
        </w:rPr>
        <w:t>实施方</w:t>
      </w:r>
      <w:r>
        <w:rPr>
          <w:rFonts w:ascii="仿宋_GB2312" w:hAnsi="宋体" w:eastAsia="仿宋_GB2312"/>
          <w:color w:val="auto"/>
          <w:sz w:val="30"/>
          <w:szCs w:val="30"/>
        </w:rPr>
        <w:t>如有优于本规范书基本要求的条款，也应在投标文件中特殊说明。</w:t>
      </w:r>
    </w:p>
    <w:p>
      <w:pPr>
        <w:adjustRightInd/>
        <w:spacing w:before="97" w:beforeLines="30" w:after="97" w:afterLines="30" w:line="360" w:lineRule="auto"/>
        <w:textAlignment w:val="auto"/>
        <w:outlineLvl w:val="0"/>
        <w:rPr>
          <w:rFonts w:ascii="黑体" w:hAnsi="黑体" w:eastAsia="黑体"/>
          <w:b/>
          <w:bCs/>
          <w:color w:val="auto"/>
          <w:sz w:val="32"/>
          <w:szCs w:val="32"/>
        </w:rPr>
      </w:pPr>
      <w:r>
        <w:rPr>
          <w:rFonts w:hint="eastAsia" w:ascii="黑体" w:hAnsi="黑体" w:eastAsia="黑体"/>
          <w:b/>
          <w:bCs/>
          <w:color w:val="auto"/>
          <w:sz w:val="32"/>
          <w:szCs w:val="32"/>
        </w:rPr>
        <w:t>2</w:t>
      </w:r>
      <w:r>
        <w:rPr>
          <w:rFonts w:ascii="黑体" w:hAnsi="黑体" w:eastAsia="黑体"/>
          <w:b/>
          <w:bCs/>
          <w:color w:val="auto"/>
          <w:sz w:val="32"/>
          <w:szCs w:val="32"/>
        </w:rPr>
        <w:t>.</w:t>
      </w:r>
      <w:r>
        <w:rPr>
          <w:rFonts w:hint="eastAsia" w:ascii="黑体" w:hAnsi="黑体" w:eastAsia="黑体"/>
          <w:b/>
          <w:bCs/>
          <w:color w:val="auto"/>
          <w:sz w:val="32"/>
          <w:szCs w:val="32"/>
        </w:rPr>
        <w:t>采购范围</w:t>
      </w:r>
    </w:p>
    <w:p>
      <w:pPr>
        <w:pStyle w:val="3"/>
        <w:keepNext w:val="0"/>
        <w:keepLines w:val="0"/>
        <w:widowControl w:val="0"/>
        <w:tabs>
          <w:tab w:val="left" w:pos="527"/>
        </w:tabs>
        <w:adjustRightInd w:val="0"/>
        <w:spacing w:line="560" w:lineRule="exact"/>
        <w:contextualSpacing/>
        <w:jc w:val="both"/>
        <w:rPr>
          <w:rFonts w:ascii="楷体_GB2312" w:eastAsia="楷体_GB2312"/>
          <w:b/>
          <w:color w:val="auto"/>
          <w:sz w:val="30"/>
          <w:szCs w:val="30"/>
        </w:rPr>
      </w:pPr>
      <w:r>
        <w:rPr>
          <w:rFonts w:ascii="楷体_GB2312" w:eastAsia="楷体_GB2312"/>
          <w:b/>
          <w:color w:val="auto"/>
          <w:sz w:val="30"/>
          <w:szCs w:val="30"/>
        </w:rPr>
        <w:t>2.1</w:t>
      </w:r>
      <w:r>
        <w:rPr>
          <w:rFonts w:hint="eastAsia" w:ascii="楷体_GB2312" w:eastAsia="楷体_GB2312"/>
          <w:b/>
          <w:color w:val="auto"/>
          <w:sz w:val="30"/>
          <w:szCs w:val="30"/>
        </w:rPr>
        <w:t>采购范围</w:t>
      </w:r>
    </w:p>
    <w:p>
      <w:pPr>
        <w:ind w:firstLine="450" w:firstLineChars="150"/>
        <w:rPr>
          <w:rFonts w:ascii="仿宋_GB2312" w:hAnsi="宋体" w:eastAsia="仿宋_GB2312"/>
          <w:color w:val="auto"/>
          <w:sz w:val="30"/>
          <w:szCs w:val="30"/>
        </w:rPr>
      </w:pPr>
      <w:r>
        <w:rPr>
          <w:rFonts w:hint="eastAsia" w:ascii="仿宋_GB2312" w:hAnsi="宋体" w:eastAsia="仿宋_GB2312"/>
          <w:color w:val="auto"/>
          <w:sz w:val="30"/>
          <w:szCs w:val="30"/>
        </w:rPr>
        <w:t>本项目采购一套智能安全移动办公平台所需要的服务器和软件产品及安装部署实施服务，采购内容如下</w:t>
      </w:r>
      <w:r>
        <w:rPr>
          <w:rFonts w:ascii="仿宋_GB2312" w:hAnsi="宋体" w:eastAsia="仿宋_GB2312"/>
          <w:color w:val="auto"/>
          <w:sz w:val="30"/>
          <w:szCs w:val="30"/>
        </w:rPr>
        <w:t>：</w:t>
      </w:r>
    </w:p>
    <w:p>
      <w:pPr>
        <w:ind w:firstLine="450" w:firstLineChars="150"/>
        <w:rPr>
          <w:rFonts w:ascii="仿宋_GB2312" w:hAnsi="宋体" w:eastAsia="仿宋_GB2312"/>
          <w:color w:val="auto"/>
          <w:sz w:val="30"/>
          <w:szCs w:val="30"/>
        </w:rPr>
      </w:pPr>
    </w:p>
    <w:tbl>
      <w:tblPr>
        <w:tblStyle w:val="14"/>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2976"/>
        <w:gridCol w:w="993"/>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480" w:lineRule="exact"/>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序号</w:t>
            </w:r>
          </w:p>
        </w:tc>
        <w:tc>
          <w:tcPr>
            <w:tcW w:w="1843" w:type="dxa"/>
            <w:vAlign w:val="center"/>
          </w:tcPr>
          <w:p>
            <w:pPr>
              <w:spacing w:line="480" w:lineRule="exact"/>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采购项目</w:t>
            </w:r>
          </w:p>
        </w:tc>
        <w:tc>
          <w:tcPr>
            <w:tcW w:w="2976" w:type="dxa"/>
            <w:vAlign w:val="center"/>
          </w:tcPr>
          <w:p>
            <w:pPr>
              <w:spacing w:line="480" w:lineRule="exact"/>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规格</w:t>
            </w:r>
          </w:p>
        </w:tc>
        <w:tc>
          <w:tcPr>
            <w:tcW w:w="993" w:type="dxa"/>
            <w:vAlign w:val="center"/>
          </w:tcPr>
          <w:p>
            <w:pPr>
              <w:spacing w:line="480" w:lineRule="exact"/>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数量</w:t>
            </w:r>
          </w:p>
        </w:tc>
        <w:tc>
          <w:tcPr>
            <w:tcW w:w="1880" w:type="dxa"/>
            <w:vAlign w:val="center"/>
          </w:tcPr>
          <w:p>
            <w:pPr>
              <w:spacing w:line="480" w:lineRule="exact"/>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1</w:t>
            </w:r>
          </w:p>
        </w:tc>
        <w:tc>
          <w:tcPr>
            <w:tcW w:w="1843"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PC沙箱软件</w:t>
            </w:r>
          </w:p>
        </w:tc>
        <w:tc>
          <w:tcPr>
            <w:tcW w:w="2976"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参考“技术要求”描述</w:t>
            </w:r>
          </w:p>
        </w:tc>
        <w:tc>
          <w:tcPr>
            <w:tcW w:w="993"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1套</w:t>
            </w:r>
          </w:p>
        </w:tc>
        <w:tc>
          <w:tcPr>
            <w:tcW w:w="1880" w:type="dxa"/>
            <w:vAlign w:val="center"/>
          </w:tcPr>
          <w:p>
            <w:pPr>
              <w:spacing w:line="440" w:lineRule="exact"/>
              <w:rPr>
                <w:rFonts w:ascii="仿宋_GB2312" w:hAnsi="宋体"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2</w:t>
            </w:r>
          </w:p>
        </w:tc>
        <w:tc>
          <w:tcPr>
            <w:tcW w:w="1843"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零信任安全网关软件</w:t>
            </w:r>
          </w:p>
        </w:tc>
        <w:tc>
          <w:tcPr>
            <w:tcW w:w="2976"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参考“技术要求”描述</w:t>
            </w:r>
          </w:p>
        </w:tc>
        <w:tc>
          <w:tcPr>
            <w:tcW w:w="993"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1套</w:t>
            </w:r>
          </w:p>
        </w:tc>
        <w:tc>
          <w:tcPr>
            <w:tcW w:w="1880" w:type="dxa"/>
            <w:vAlign w:val="center"/>
          </w:tcPr>
          <w:p>
            <w:pPr>
              <w:spacing w:line="440" w:lineRule="exact"/>
              <w:rPr>
                <w:rFonts w:ascii="仿宋_GB2312" w:hAnsi="宋体"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3</w:t>
            </w:r>
          </w:p>
        </w:tc>
        <w:tc>
          <w:tcPr>
            <w:tcW w:w="1843"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授权许可</w:t>
            </w:r>
          </w:p>
        </w:tc>
        <w:tc>
          <w:tcPr>
            <w:tcW w:w="2976"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P</w:t>
            </w:r>
            <w:r>
              <w:rPr>
                <w:rFonts w:ascii="仿宋_GB2312" w:hAnsi="宋体" w:eastAsia="仿宋_GB2312"/>
                <w:color w:val="auto"/>
                <w:sz w:val="28"/>
                <w:szCs w:val="28"/>
              </w:rPr>
              <w:t>C</w:t>
            </w:r>
            <w:r>
              <w:rPr>
                <w:rFonts w:hint="eastAsia" w:ascii="仿宋_GB2312" w:hAnsi="宋体" w:eastAsia="仿宋_GB2312"/>
                <w:color w:val="auto"/>
                <w:sz w:val="28"/>
                <w:szCs w:val="28"/>
              </w:rPr>
              <w:t>沙箱及零信任安全网关软件授权许可</w:t>
            </w:r>
          </w:p>
        </w:tc>
        <w:tc>
          <w:tcPr>
            <w:tcW w:w="993"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lang w:val="en-US" w:eastAsia="zh-CN"/>
              </w:rPr>
              <w:t>3</w:t>
            </w:r>
            <w:r>
              <w:rPr>
                <w:rFonts w:ascii="仿宋_GB2312" w:hAnsi="宋体" w:eastAsia="仿宋_GB2312"/>
                <w:color w:val="auto"/>
                <w:sz w:val="28"/>
                <w:szCs w:val="28"/>
              </w:rPr>
              <w:t>00</w:t>
            </w:r>
            <w:r>
              <w:rPr>
                <w:rFonts w:hint="eastAsia" w:ascii="仿宋_GB2312" w:hAnsi="宋体" w:eastAsia="仿宋_GB2312"/>
                <w:color w:val="auto"/>
                <w:sz w:val="28"/>
                <w:szCs w:val="28"/>
              </w:rPr>
              <w:t>个</w:t>
            </w:r>
          </w:p>
        </w:tc>
        <w:tc>
          <w:tcPr>
            <w:tcW w:w="1880" w:type="dxa"/>
            <w:vAlign w:val="center"/>
          </w:tcPr>
          <w:p>
            <w:pPr>
              <w:spacing w:line="440" w:lineRule="exact"/>
              <w:rPr>
                <w:rFonts w:ascii="仿宋_GB2312" w:hAnsi="宋体"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4</w:t>
            </w:r>
          </w:p>
        </w:tc>
        <w:tc>
          <w:tcPr>
            <w:tcW w:w="1843"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服务器</w:t>
            </w:r>
          </w:p>
        </w:tc>
        <w:tc>
          <w:tcPr>
            <w:tcW w:w="2976"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参考“技术要求”描述</w:t>
            </w:r>
          </w:p>
        </w:tc>
        <w:tc>
          <w:tcPr>
            <w:tcW w:w="993"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2</w:t>
            </w:r>
            <w:r>
              <w:rPr>
                <w:rFonts w:hint="eastAsia" w:ascii="仿宋_GB2312" w:hAnsi="宋体" w:eastAsia="仿宋_GB2312"/>
                <w:color w:val="auto"/>
                <w:sz w:val="28"/>
                <w:szCs w:val="28"/>
              </w:rPr>
              <w:t>台</w:t>
            </w:r>
          </w:p>
        </w:tc>
        <w:tc>
          <w:tcPr>
            <w:tcW w:w="1880" w:type="dxa"/>
            <w:vAlign w:val="center"/>
          </w:tcPr>
          <w:p>
            <w:pPr>
              <w:spacing w:line="400" w:lineRule="exact"/>
              <w:rPr>
                <w:rFonts w:ascii="仿宋_GB2312" w:hAnsi="宋体" w:eastAsia="仿宋_GB2312"/>
                <w:color w:val="auto"/>
                <w:sz w:val="28"/>
                <w:szCs w:val="28"/>
              </w:rPr>
            </w:pPr>
            <w:r>
              <w:rPr>
                <w:rFonts w:hint="eastAsia" w:ascii="仿宋_GB2312" w:hAnsi="宋体" w:eastAsia="仿宋_GB2312"/>
                <w:color w:val="auto"/>
                <w:sz w:val="28"/>
                <w:szCs w:val="28"/>
              </w:rPr>
              <w:t>用于部署PC沙箱管理平台和零信任安全网关</w:t>
            </w:r>
          </w:p>
        </w:tc>
      </w:tr>
    </w:tbl>
    <w:p>
      <w:pPr>
        <w:pStyle w:val="3"/>
        <w:keepNext w:val="0"/>
        <w:keepLines w:val="0"/>
        <w:widowControl w:val="0"/>
        <w:tabs>
          <w:tab w:val="left" w:pos="527"/>
        </w:tabs>
        <w:adjustRightInd w:val="0"/>
        <w:spacing w:before="163" w:beforeLines="50" w:after="163" w:afterLines="50" w:line="560" w:lineRule="exact"/>
        <w:contextualSpacing/>
        <w:jc w:val="both"/>
        <w:rPr>
          <w:rFonts w:ascii="楷体_GB2312" w:eastAsia="楷体_GB2312"/>
          <w:b/>
          <w:color w:val="auto"/>
          <w:sz w:val="30"/>
          <w:szCs w:val="30"/>
        </w:rPr>
      </w:pPr>
      <w:r>
        <w:rPr>
          <w:rFonts w:ascii="楷体_GB2312" w:eastAsia="楷体_GB2312"/>
          <w:b/>
          <w:color w:val="auto"/>
          <w:sz w:val="30"/>
          <w:szCs w:val="30"/>
        </w:rPr>
        <w:t>2.2</w:t>
      </w:r>
      <w:r>
        <w:rPr>
          <w:rFonts w:hint="eastAsia" w:ascii="楷体_GB2312" w:eastAsia="楷体_GB2312"/>
          <w:b/>
          <w:color w:val="auto"/>
          <w:sz w:val="30"/>
          <w:szCs w:val="30"/>
        </w:rPr>
        <w:t>向采购方提供的技术支持</w:t>
      </w:r>
    </w:p>
    <w:tbl>
      <w:tblPr>
        <w:tblStyle w:val="13"/>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7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944" w:type="dxa"/>
            <w:vAlign w:val="center"/>
          </w:tcPr>
          <w:p>
            <w:pPr>
              <w:spacing w:line="440" w:lineRule="exact"/>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序号</w:t>
            </w:r>
          </w:p>
        </w:tc>
        <w:tc>
          <w:tcPr>
            <w:tcW w:w="7556" w:type="dxa"/>
            <w:vAlign w:val="center"/>
          </w:tcPr>
          <w:p>
            <w:pPr>
              <w:spacing w:line="440" w:lineRule="exact"/>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技术支持内容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44"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1</w:t>
            </w:r>
          </w:p>
        </w:tc>
        <w:tc>
          <w:tcPr>
            <w:tcW w:w="7556"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技术咨询服务。项目实施前由项目总监组织与采购方交流同类的移动办公系统开展与实施经验，并给出咨询意见，优化出更适合采购方的项目实施方案。不定期与采购方开展技术交流，为后期的系统改进优化提供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44"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2</w:t>
            </w:r>
          </w:p>
        </w:tc>
        <w:tc>
          <w:tcPr>
            <w:tcW w:w="7556"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提供现场安装、开发、测试、上线的全程跟踪服务；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44"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3</w:t>
            </w:r>
          </w:p>
        </w:tc>
        <w:tc>
          <w:tcPr>
            <w:tcW w:w="7556"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验收合格后提供维保及功能完善；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44"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4</w:t>
            </w:r>
          </w:p>
        </w:tc>
        <w:tc>
          <w:tcPr>
            <w:tcW w:w="7556"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指定专门的富有经验的技术人员和业务专家提供售后服务，并随时保持联系；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44"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5</w:t>
            </w:r>
          </w:p>
        </w:tc>
        <w:tc>
          <w:tcPr>
            <w:tcW w:w="7556"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公司提供7X24小时技术支持服务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44"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6</w:t>
            </w:r>
          </w:p>
        </w:tc>
        <w:tc>
          <w:tcPr>
            <w:tcW w:w="7556"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对于产品和系统完善性需求，由经验丰富的技术人员和业务专家现场支持；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44"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7</w:t>
            </w:r>
          </w:p>
        </w:tc>
        <w:tc>
          <w:tcPr>
            <w:tcW w:w="7556"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系统框架模块内的功能及流程调整，软件故障排除，软件重装，软件的后门和漏洞进行补丁安装，以及相应的版本升级维护服务；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944"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8</w:t>
            </w:r>
          </w:p>
        </w:tc>
        <w:tc>
          <w:tcPr>
            <w:tcW w:w="7556"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系统上线后因系统本身不稳定需要进行升级改造的，免费及时进行解决；如因系统问题造成客户损失的，实施方承担全部责任；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944"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9</w:t>
            </w:r>
          </w:p>
        </w:tc>
        <w:tc>
          <w:tcPr>
            <w:tcW w:w="7556"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系统迁移时现场技术支持；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944"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10</w:t>
            </w:r>
          </w:p>
        </w:tc>
        <w:tc>
          <w:tcPr>
            <w:tcW w:w="7556"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提供服务器软件升级技术服务，根据新版本服务器软件的功能和稳定性，对是否采用新版本提出建议，并配合实施；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944"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11</w:t>
            </w:r>
          </w:p>
        </w:tc>
        <w:tc>
          <w:tcPr>
            <w:tcW w:w="7556"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服务报告的编制和递交。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944"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12</w:t>
            </w:r>
          </w:p>
        </w:tc>
        <w:tc>
          <w:tcPr>
            <w:tcW w:w="7556" w:type="dxa"/>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与采购方商讨符合的应急计划，编写《应急操作手册》,满足及时应对重大故障时的应急保障需求，确保IT服务连贯性，制定应急保障方案</w:t>
            </w:r>
          </w:p>
        </w:tc>
      </w:tr>
    </w:tbl>
    <w:p>
      <w:pPr>
        <w:spacing w:line="480" w:lineRule="exact"/>
        <w:rPr>
          <w:rFonts w:ascii="仿宋_GB2312" w:hAnsi="宋体" w:eastAsia="仿宋_GB2312"/>
          <w:color w:val="auto"/>
          <w:sz w:val="28"/>
          <w:szCs w:val="28"/>
        </w:rPr>
      </w:pPr>
    </w:p>
    <w:p>
      <w:pPr>
        <w:adjustRightInd/>
        <w:spacing w:before="97" w:beforeLines="30" w:after="97" w:afterLines="30" w:line="360" w:lineRule="auto"/>
        <w:textAlignment w:val="auto"/>
        <w:outlineLvl w:val="0"/>
        <w:rPr>
          <w:rFonts w:ascii="楷体_GB2312" w:eastAsia="楷体_GB2312"/>
          <w:b/>
          <w:color w:val="auto"/>
          <w:sz w:val="30"/>
          <w:szCs w:val="30"/>
        </w:rPr>
      </w:pPr>
      <w:r>
        <w:rPr>
          <w:rFonts w:hint="eastAsia" w:ascii="黑体" w:hAnsi="黑体" w:eastAsia="黑体"/>
          <w:b/>
          <w:bCs/>
          <w:color w:val="auto"/>
          <w:sz w:val="32"/>
          <w:szCs w:val="32"/>
        </w:rPr>
        <w:t>3</w:t>
      </w:r>
      <w:r>
        <w:rPr>
          <w:rFonts w:ascii="黑体" w:hAnsi="黑体" w:eastAsia="黑体"/>
          <w:b/>
          <w:bCs/>
          <w:color w:val="auto"/>
          <w:sz w:val="32"/>
          <w:szCs w:val="32"/>
        </w:rPr>
        <w:t>.</w:t>
      </w:r>
      <w:r>
        <w:rPr>
          <w:rFonts w:hint="eastAsia" w:ascii="黑体" w:hAnsi="黑体" w:eastAsia="黑体"/>
          <w:b/>
          <w:bCs/>
          <w:color w:val="auto"/>
          <w:sz w:val="32"/>
          <w:szCs w:val="32"/>
        </w:rPr>
        <w:t>标准/规范</w:t>
      </w:r>
    </w:p>
    <w:p>
      <w:pPr>
        <w:widowControl/>
        <w:ind w:firstLine="600" w:firstLineChars="200"/>
        <w:rPr>
          <w:rFonts w:ascii="仿宋_GB2312" w:hAnsi="宋体" w:eastAsia="仿宋_GB2312"/>
          <w:color w:val="auto"/>
          <w:sz w:val="30"/>
          <w:szCs w:val="30"/>
        </w:rPr>
      </w:pPr>
      <w:bookmarkStart w:id="7" w:name="_Hlk82338978"/>
      <w:r>
        <w:rPr>
          <w:rFonts w:hint="eastAsia" w:ascii="仿宋_GB2312" w:hAnsi="宋体" w:eastAsia="仿宋_GB2312"/>
          <w:color w:val="auto"/>
          <w:sz w:val="30"/>
          <w:szCs w:val="30"/>
        </w:rPr>
        <w:t>本项目采购和实施过程中，需满足国家及华能集团公司信息化建设管理相关规定。国家相关法规和技术标准包括但不限于：</w:t>
      </w:r>
    </w:p>
    <w:bookmarkEnd w:id="7"/>
    <w:p>
      <w:pPr>
        <w:ind w:firstLine="426" w:firstLineChars="142"/>
        <w:rPr>
          <w:rFonts w:ascii="仿宋_GB2312" w:hAnsi="宋体" w:eastAsia="仿宋_GB2312"/>
          <w:color w:val="auto"/>
          <w:sz w:val="30"/>
          <w:szCs w:val="30"/>
        </w:rPr>
      </w:pPr>
      <w:r>
        <w:rPr>
          <w:rFonts w:ascii="仿宋_GB2312" w:hAnsi="宋体" w:eastAsia="仿宋_GB2312"/>
          <w:color w:val="auto"/>
          <w:sz w:val="30"/>
          <w:szCs w:val="30"/>
        </w:rPr>
        <w:t>GB</w:t>
      </w:r>
      <w:r>
        <w:rPr>
          <w:rFonts w:hint="eastAsia" w:ascii="仿宋_GB2312" w:hAnsi="宋体" w:eastAsia="仿宋_GB2312"/>
          <w:color w:val="auto"/>
          <w:sz w:val="30"/>
          <w:szCs w:val="30"/>
        </w:rPr>
        <w:t>/</w:t>
      </w:r>
      <w:r>
        <w:rPr>
          <w:rFonts w:ascii="仿宋_GB2312" w:hAnsi="宋体" w:eastAsia="仿宋_GB2312"/>
          <w:color w:val="auto"/>
          <w:sz w:val="30"/>
          <w:szCs w:val="30"/>
        </w:rPr>
        <w:t xml:space="preserve">T 35282-2017 </w:t>
      </w:r>
      <w:r>
        <w:rPr>
          <w:rFonts w:hint="eastAsia" w:ascii="仿宋_GB2312" w:hAnsi="宋体" w:eastAsia="仿宋_GB2312"/>
          <w:color w:val="auto"/>
          <w:sz w:val="30"/>
          <w:szCs w:val="30"/>
        </w:rPr>
        <w:t>《</w:t>
      </w:r>
      <w:r>
        <w:rPr>
          <w:rFonts w:ascii="仿宋_GB2312" w:hAnsi="宋体" w:eastAsia="仿宋_GB2312"/>
          <w:color w:val="auto"/>
          <w:sz w:val="30"/>
          <w:szCs w:val="30"/>
        </w:rPr>
        <w:t>电子政务移动办公系统安全技术规范</w:t>
      </w:r>
      <w:r>
        <w:rPr>
          <w:rFonts w:hint="eastAsia" w:ascii="仿宋_GB2312" w:hAnsi="宋体" w:eastAsia="仿宋_GB2312"/>
          <w:color w:val="auto"/>
          <w:sz w:val="30"/>
          <w:szCs w:val="30"/>
        </w:rPr>
        <w:t xml:space="preserve">》 </w:t>
      </w:r>
    </w:p>
    <w:p>
      <w:pPr>
        <w:ind w:firstLine="426" w:firstLineChars="142"/>
        <w:rPr>
          <w:rFonts w:ascii="仿宋_GB2312" w:hAnsi="宋体" w:eastAsia="仿宋_GB2312"/>
          <w:color w:val="auto"/>
          <w:sz w:val="30"/>
          <w:szCs w:val="30"/>
        </w:rPr>
      </w:pPr>
      <w:r>
        <w:rPr>
          <w:rFonts w:ascii="仿宋_GB2312" w:hAnsi="宋体" w:eastAsia="仿宋_GB2312"/>
          <w:color w:val="auto"/>
          <w:sz w:val="30"/>
          <w:szCs w:val="30"/>
        </w:rPr>
        <w:t>GB</w:t>
      </w:r>
      <w:r>
        <w:rPr>
          <w:rFonts w:hint="eastAsia" w:ascii="仿宋_GB2312" w:hAnsi="宋体" w:eastAsia="仿宋_GB2312"/>
          <w:color w:val="auto"/>
          <w:sz w:val="30"/>
          <w:szCs w:val="30"/>
        </w:rPr>
        <w:t>/</w:t>
      </w:r>
      <w:r>
        <w:rPr>
          <w:rFonts w:ascii="仿宋_GB2312" w:hAnsi="宋体" w:eastAsia="仿宋_GB2312"/>
          <w:color w:val="auto"/>
          <w:sz w:val="30"/>
          <w:szCs w:val="30"/>
        </w:rPr>
        <w:t xml:space="preserve">T 28448-2019 </w:t>
      </w:r>
      <w:r>
        <w:rPr>
          <w:rFonts w:hint="eastAsia" w:ascii="仿宋_GB2312" w:hAnsi="宋体" w:eastAsia="仿宋_GB2312"/>
          <w:color w:val="auto"/>
          <w:sz w:val="30"/>
          <w:szCs w:val="30"/>
        </w:rPr>
        <w:t>《</w:t>
      </w:r>
      <w:r>
        <w:rPr>
          <w:rFonts w:ascii="仿宋_GB2312" w:hAnsi="宋体" w:eastAsia="仿宋_GB2312"/>
          <w:color w:val="auto"/>
          <w:sz w:val="30"/>
          <w:szCs w:val="30"/>
        </w:rPr>
        <w:t>网络安全等级保护测评要求</w:t>
      </w:r>
      <w:r>
        <w:rPr>
          <w:rFonts w:hint="eastAsia" w:ascii="仿宋_GB2312" w:hAnsi="宋体" w:eastAsia="仿宋_GB2312"/>
          <w:color w:val="auto"/>
          <w:sz w:val="30"/>
          <w:szCs w:val="30"/>
        </w:rPr>
        <w:t>》</w:t>
      </w:r>
    </w:p>
    <w:p>
      <w:pPr>
        <w:ind w:firstLine="426" w:firstLineChars="142"/>
        <w:rPr>
          <w:rFonts w:ascii="仿宋_GB2312" w:hAnsi="宋体" w:eastAsia="仿宋_GB2312"/>
          <w:color w:val="auto"/>
          <w:sz w:val="30"/>
          <w:szCs w:val="30"/>
        </w:rPr>
      </w:pPr>
      <w:r>
        <w:rPr>
          <w:rFonts w:ascii="仿宋_GB2312" w:hAnsi="宋体" w:eastAsia="仿宋_GB2312"/>
          <w:color w:val="auto"/>
          <w:sz w:val="30"/>
          <w:szCs w:val="30"/>
        </w:rPr>
        <w:t>GB</w:t>
      </w:r>
      <w:r>
        <w:rPr>
          <w:rFonts w:hint="eastAsia" w:ascii="仿宋_GB2312" w:hAnsi="宋体" w:eastAsia="仿宋_GB2312"/>
          <w:color w:val="auto"/>
          <w:sz w:val="30"/>
          <w:szCs w:val="30"/>
        </w:rPr>
        <w:t>/</w:t>
      </w:r>
      <w:r>
        <w:rPr>
          <w:rFonts w:ascii="仿宋_GB2312" w:hAnsi="宋体" w:eastAsia="仿宋_GB2312"/>
          <w:color w:val="auto"/>
          <w:sz w:val="30"/>
          <w:szCs w:val="30"/>
        </w:rPr>
        <w:t xml:space="preserve">T 25070-2019 </w:t>
      </w:r>
      <w:r>
        <w:rPr>
          <w:rFonts w:hint="eastAsia" w:ascii="仿宋_GB2312" w:hAnsi="宋体" w:eastAsia="仿宋_GB2312"/>
          <w:color w:val="auto"/>
          <w:sz w:val="30"/>
          <w:szCs w:val="30"/>
        </w:rPr>
        <w:t>《</w:t>
      </w:r>
      <w:r>
        <w:rPr>
          <w:rFonts w:ascii="仿宋_GB2312" w:hAnsi="宋体" w:eastAsia="仿宋_GB2312"/>
          <w:color w:val="auto"/>
          <w:sz w:val="30"/>
          <w:szCs w:val="30"/>
        </w:rPr>
        <w:t>网络安全等级保护安全设计技术要求</w:t>
      </w:r>
      <w:r>
        <w:rPr>
          <w:rFonts w:hint="eastAsia" w:ascii="仿宋_GB2312" w:hAnsi="宋体" w:eastAsia="仿宋_GB2312"/>
          <w:color w:val="auto"/>
          <w:sz w:val="30"/>
          <w:szCs w:val="30"/>
        </w:rPr>
        <w:t>》</w:t>
      </w:r>
    </w:p>
    <w:p>
      <w:pPr>
        <w:ind w:firstLine="426" w:firstLineChars="142"/>
        <w:rPr>
          <w:rFonts w:ascii="仿宋_GB2312" w:hAnsi="宋体" w:eastAsia="仿宋_GB2312"/>
          <w:color w:val="auto"/>
          <w:sz w:val="30"/>
          <w:szCs w:val="30"/>
        </w:rPr>
      </w:pPr>
      <w:r>
        <w:rPr>
          <w:rFonts w:ascii="仿宋_GB2312" w:hAnsi="宋体" w:eastAsia="仿宋_GB2312"/>
          <w:color w:val="auto"/>
          <w:sz w:val="30"/>
          <w:szCs w:val="30"/>
        </w:rPr>
        <w:t>GB</w:t>
      </w:r>
      <w:r>
        <w:rPr>
          <w:rFonts w:hint="eastAsia" w:ascii="仿宋_GB2312" w:hAnsi="宋体" w:eastAsia="仿宋_GB2312"/>
          <w:color w:val="auto"/>
          <w:sz w:val="30"/>
          <w:szCs w:val="30"/>
        </w:rPr>
        <w:t>/</w:t>
      </w:r>
      <w:r>
        <w:rPr>
          <w:rFonts w:ascii="仿宋_GB2312" w:hAnsi="宋体" w:eastAsia="仿宋_GB2312"/>
          <w:color w:val="auto"/>
          <w:sz w:val="30"/>
          <w:szCs w:val="30"/>
        </w:rPr>
        <w:t xml:space="preserve">T 22239-2019 </w:t>
      </w:r>
      <w:r>
        <w:rPr>
          <w:rFonts w:hint="eastAsia" w:ascii="仿宋_GB2312" w:hAnsi="宋体" w:eastAsia="仿宋_GB2312"/>
          <w:color w:val="auto"/>
          <w:sz w:val="30"/>
          <w:szCs w:val="30"/>
        </w:rPr>
        <w:t>《</w:t>
      </w:r>
      <w:r>
        <w:rPr>
          <w:rFonts w:ascii="仿宋_GB2312" w:hAnsi="宋体" w:eastAsia="仿宋_GB2312"/>
          <w:color w:val="auto"/>
          <w:sz w:val="30"/>
          <w:szCs w:val="30"/>
        </w:rPr>
        <w:t>网络安全等级保护基本要求</w:t>
      </w:r>
      <w:r>
        <w:rPr>
          <w:rFonts w:hint="eastAsia" w:ascii="仿宋_GB2312" w:hAnsi="宋体" w:eastAsia="仿宋_GB2312"/>
          <w:color w:val="auto"/>
          <w:sz w:val="30"/>
          <w:szCs w:val="30"/>
        </w:rPr>
        <w:t>》</w:t>
      </w:r>
    </w:p>
    <w:p>
      <w:pPr>
        <w:ind w:firstLine="426" w:firstLineChars="142"/>
        <w:rPr>
          <w:rFonts w:ascii="仿宋_GB2312" w:hAnsi="宋体" w:eastAsia="仿宋_GB2312"/>
          <w:color w:val="auto"/>
          <w:sz w:val="30"/>
          <w:szCs w:val="30"/>
        </w:rPr>
      </w:pPr>
      <w:r>
        <w:rPr>
          <w:rFonts w:hint="eastAsia" w:ascii="仿宋_GB2312" w:hAnsi="宋体" w:eastAsia="仿宋_GB2312"/>
          <w:color w:val="auto"/>
          <w:sz w:val="30"/>
          <w:szCs w:val="30"/>
        </w:rPr>
        <w:t>G</w:t>
      </w:r>
      <w:r>
        <w:rPr>
          <w:rFonts w:ascii="仿宋_GB2312" w:hAnsi="宋体" w:eastAsia="仿宋_GB2312"/>
          <w:color w:val="auto"/>
          <w:sz w:val="30"/>
          <w:szCs w:val="30"/>
        </w:rPr>
        <w:t>B</w:t>
      </w:r>
      <w:r>
        <w:rPr>
          <w:rFonts w:hint="eastAsia" w:ascii="仿宋_GB2312" w:hAnsi="宋体" w:eastAsia="仿宋_GB2312"/>
          <w:color w:val="auto"/>
          <w:sz w:val="30"/>
          <w:szCs w:val="30"/>
        </w:rPr>
        <w:t>-</w:t>
      </w:r>
      <w:r>
        <w:rPr>
          <w:rFonts w:ascii="仿宋_GB2312" w:hAnsi="宋体" w:eastAsia="仿宋_GB2312"/>
          <w:color w:val="auto"/>
          <w:sz w:val="30"/>
          <w:szCs w:val="30"/>
        </w:rPr>
        <w:t>9385</w:t>
      </w:r>
      <w:r>
        <w:rPr>
          <w:rFonts w:hint="eastAsia" w:ascii="仿宋_GB2312" w:hAnsi="宋体" w:eastAsia="仿宋_GB2312"/>
          <w:color w:val="auto"/>
          <w:sz w:val="30"/>
          <w:szCs w:val="30"/>
        </w:rPr>
        <w:t>-</w:t>
      </w:r>
      <w:r>
        <w:rPr>
          <w:rFonts w:ascii="仿宋_GB2312" w:hAnsi="宋体" w:eastAsia="仿宋_GB2312"/>
          <w:color w:val="auto"/>
          <w:sz w:val="30"/>
          <w:szCs w:val="30"/>
        </w:rPr>
        <w:t xml:space="preserve">2008    </w:t>
      </w:r>
      <w:r>
        <w:rPr>
          <w:rFonts w:hint="eastAsia" w:ascii="仿宋_GB2312" w:hAnsi="宋体" w:eastAsia="仿宋_GB2312"/>
          <w:color w:val="auto"/>
          <w:sz w:val="30"/>
          <w:szCs w:val="30"/>
        </w:rPr>
        <w:t>《计算机软件需求规格说明规范》</w:t>
      </w:r>
    </w:p>
    <w:p>
      <w:pPr>
        <w:ind w:firstLine="426" w:firstLineChars="142"/>
        <w:rPr>
          <w:rFonts w:ascii="仿宋_GB2312" w:hAnsi="宋体" w:eastAsia="仿宋_GB2312"/>
          <w:color w:val="auto"/>
          <w:sz w:val="30"/>
          <w:szCs w:val="30"/>
        </w:rPr>
      </w:pPr>
      <w:r>
        <w:rPr>
          <w:rFonts w:hint="eastAsia" w:ascii="仿宋_GB2312" w:hAnsi="宋体" w:eastAsia="仿宋_GB2312"/>
          <w:color w:val="auto"/>
          <w:sz w:val="30"/>
          <w:szCs w:val="30"/>
        </w:rPr>
        <w:t>GB/T12504</w:t>
      </w:r>
      <w:r>
        <w:rPr>
          <w:rFonts w:ascii="仿宋_GB2312" w:hAnsi="宋体" w:eastAsia="仿宋_GB2312"/>
          <w:color w:val="auto"/>
          <w:sz w:val="30"/>
          <w:szCs w:val="30"/>
        </w:rPr>
        <w:t xml:space="preserve">       </w:t>
      </w:r>
      <w:r>
        <w:rPr>
          <w:rFonts w:hint="eastAsia" w:ascii="仿宋_GB2312" w:hAnsi="宋体" w:eastAsia="仿宋_GB2312"/>
          <w:color w:val="auto"/>
          <w:sz w:val="30"/>
          <w:szCs w:val="30"/>
        </w:rPr>
        <w:t>《计算机软件质量保证计划规范》</w:t>
      </w:r>
      <w:r>
        <w:rPr>
          <w:rFonts w:ascii="仿宋_GB2312" w:hAnsi="宋体" w:eastAsia="仿宋_GB2312"/>
          <w:color w:val="auto"/>
          <w:sz w:val="30"/>
          <w:szCs w:val="30"/>
        </w:rPr>
        <w:t xml:space="preserve"> </w:t>
      </w:r>
    </w:p>
    <w:p>
      <w:pPr>
        <w:ind w:firstLine="426" w:firstLineChars="142"/>
        <w:rPr>
          <w:rFonts w:ascii="仿宋_GB2312" w:hAnsi="宋体" w:eastAsia="仿宋_GB2312"/>
          <w:color w:val="auto"/>
          <w:sz w:val="30"/>
          <w:szCs w:val="30"/>
        </w:rPr>
      </w:pPr>
      <w:r>
        <w:rPr>
          <w:rFonts w:hint="eastAsia" w:ascii="仿宋_GB2312" w:hAnsi="宋体" w:eastAsia="仿宋_GB2312"/>
          <w:color w:val="auto"/>
          <w:sz w:val="30"/>
          <w:szCs w:val="30"/>
        </w:rPr>
        <w:t>GB8567-88</w:t>
      </w:r>
      <w:r>
        <w:rPr>
          <w:rFonts w:ascii="仿宋_GB2312" w:hAnsi="宋体" w:eastAsia="仿宋_GB2312"/>
          <w:color w:val="auto"/>
          <w:sz w:val="30"/>
          <w:szCs w:val="30"/>
        </w:rPr>
        <w:t xml:space="preserve">       </w:t>
      </w:r>
      <w:r>
        <w:rPr>
          <w:rFonts w:hint="eastAsia" w:ascii="仿宋_GB2312" w:hAnsi="宋体" w:eastAsia="仿宋_GB2312"/>
          <w:color w:val="auto"/>
          <w:sz w:val="30"/>
          <w:szCs w:val="30"/>
        </w:rPr>
        <w:t>《计算机软件产品开发文件编制指南》</w:t>
      </w:r>
      <w:r>
        <w:rPr>
          <w:rFonts w:ascii="仿宋_GB2312" w:hAnsi="宋体" w:eastAsia="仿宋_GB2312"/>
          <w:color w:val="auto"/>
          <w:sz w:val="30"/>
          <w:szCs w:val="30"/>
        </w:rPr>
        <w:t xml:space="preserve"> </w:t>
      </w:r>
    </w:p>
    <w:p>
      <w:pPr>
        <w:adjustRightInd/>
        <w:spacing w:before="97" w:beforeLines="30" w:after="97" w:afterLines="30" w:line="360" w:lineRule="auto"/>
        <w:textAlignment w:val="auto"/>
        <w:outlineLvl w:val="0"/>
        <w:rPr>
          <w:rFonts w:ascii="黑体" w:hAnsi="黑体" w:eastAsia="黑体"/>
          <w:b/>
          <w:bCs/>
          <w:color w:val="auto"/>
          <w:sz w:val="32"/>
          <w:szCs w:val="32"/>
        </w:rPr>
      </w:pPr>
      <w:r>
        <w:rPr>
          <w:rFonts w:hint="eastAsia" w:ascii="黑体" w:hAnsi="黑体" w:eastAsia="黑体"/>
          <w:b/>
          <w:bCs/>
          <w:color w:val="auto"/>
          <w:sz w:val="32"/>
          <w:szCs w:val="32"/>
        </w:rPr>
        <w:t>4</w:t>
      </w:r>
      <w:r>
        <w:rPr>
          <w:rFonts w:ascii="黑体" w:hAnsi="黑体" w:eastAsia="黑体"/>
          <w:b/>
          <w:bCs/>
          <w:color w:val="auto"/>
          <w:sz w:val="32"/>
          <w:szCs w:val="32"/>
        </w:rPr>
        <w:t>.</w:t>
      </w:r>
      <w:r>
        <w:rPr>
          <w:rFonts w:hint="eastAsia" w:ascii="黑体" w:hAnsi="黑体" w:eastAsia="黑体"/>
          <w:b/>
          <w:bCs/>
          <w:color w:val="auto"/>
          <w:sz w:val="32"/>
          <w:szCs w:val="32"/>
        </w:rPr>
        <w:t>资质要求</w:t>
      </w:r>
    </w:p>
    <w:p>
      <w:pPr>
        <w:widowControl/>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实施方应具有以下资质：</w:t>
      </w:r>
    </w:p>
    <w:p>
      <w:pPr>
        <w:widowControl/>
        <w:ind w:firstLine="600" w:firstLineChars="200"/>
        <w:rPr>
          <w:rFonts w:ascii="仿宋_GB2312" w:hAnsi="宋体" w:eastAsia="仿宋_GB2312"/>
          <w:color w:val="auto"/>
          <w:sz w:val="30"/>
          <w:szCs w:val="30"/>
        </w:rPr>
      </w:pPr>
      <w:r>
        <w:rPr>
          <w:rFonts w:ascii="仿宋_GB2312" w:hAnsi="宋体" w:eastAsia="仿宋_GB2312"/>
          <w:color w:val="auto"/>
          <w:sz w:val="30"/>
          <w:szCs w:val="30"/>
        </w:rPr>
        <w:t>1)具有ISO9000 系列质量保证体系认证证书。</w:t>
      </w:r>
      <w:r>
        <w:rPr>
          <w:rFonts w:hint="eastAsia" w:ascii="仿宋_GB2312" w:hAnsi="宋体" w:eastAsia="仿宋_GB2312"/>
          <w:color w:val="auto"/>
          <w:sz w:val="30"/>
          <w:szCs w:val="30"/>
        </w:rPr>
        <w:t xml:space="preserve"> </w:t>
      </w:r>
    </w:p>
    <w:p>
      <w:pPr>
        <w:widowControl/>
        <w:ind w:firstLine="600" w:firstLineChars="200"/>
        <w:rPr>
          <w:rFonts w:ascii="仿宋_GB2312" w:hAnsi="宋体" w:eastAsia="仿宋_GB2312"/>
          <w:color w:val="auto"/>
          <w:sz w:val="30"/>
          <w:szCs w:val="30"/>
        </w:rPr>
      </w:pPr>
      <w:r>
        <w:rPr>
          <w:rFonts w:ascii="仿宋_GB2312" w:hAnsi="宋体" w:eastAsia="仿宋_GB2312"/>
          <w:color w:val="auto"/>
          <w:sz w:val="30"/>
          <w:szCs w:val="30"/>
        </w:rPr>
        <w:t>2)近</w:t>
      </w:r>
      <w:r>
        <w:rPr>
          <w:rFonts w:hint="eastAsia" w:ascii="仿宋_GB2312" w:hAnsi="宋体" w:eastAsia="仿宋_GB2312"/>
          <w:color w:val="auto"/>
          <w:sz w:val="30"/>
          <w:szCs w:val="30"/>
        </w:rPr>
        <w:t>五</w:t>
      </w:r>
      <w:r>
        <w:rPr>
          <w:rFonts w:ascii="仿宋_GB2312" w:hAnsi="宋体" w:eastAsia="仿宋_GB2312"/>
          <w:color w:val="auto"/>
          <w:sz w:val="30"/>
          <w:szCs w:val="30"/>
        </w:rPr>
        <w:t>年内具有</w:t>
      </w:r>
      <w:r>
        <w:rPr>
          <w:rFonts w:hint="eastAsia" w:ascii="仿宋_GB2312" w:hAnsi="宋体" w:eastAsia="仿宋_GB2312"/>
          <w:color w:val="auto"/>
          <w:sz w:val="30"/>
          <w:szCs w:val="30"/>
        </w:rPr>
        <w:t>安全移动办公</w:t>
      </w:r>
      <w:r>
        <w:rPr>
          <w:rFonts w:ascii="仿宋_GB2312" w:hAnsi="宋体" w:eastAsia="仿宋_GB2312"/>
          <w:color w:val="auto"/>
          <w:sz w:val="30"/>
          <w:szCs w:val="30"/>
        </w:rPr>
        <w:t>类</w:t>
      </w:r>
      <w:r>
        <w:rPr>
          <w:rFonts w:hint="eastAsia" w:ascii="仿宋_GB2312" w:hAnsi="宋体" w:eastAsia="仿宋_GB2312"/>
          <w:color w:val="auto"/>
          <w:sz w:val="30"/>
          <w:szCs w:val="30"/>
        </w:rPr>
        <w:t>业绩或电力行业网络安全</w:t>
      </w:r>
      <w:r>
        <w:rPr>
          <w:rFonts w:ascii="仿宋_GB2312" w:hAnsi="宋体" w:eastAsia="仿宋_GB2312"/>
          <w:color w:val="auto"/>
          <w:sz w:val="30"/>
          <w:szCs w:val="30"/>
        </w:rPr>
        <w:t>项目</w:t>
      </w:r>
      <w:r>
        <w:rPr>
          <w:rFonts w:hint="eastAsia" w:ascii="仿宋_GB2312" w:hAnsi="宋体" w:eastAsia="仿宋_GB2312"/>
          <w:color w:val="auto"/>
          <w:sz w:val="30"/>
          <w:szCs w:val="30"/>
        </w:rPr>
        <w:t>业绩</w:t>
      </w:r>
      <w:r>
        <w:rPr>
          <w:rFonts w:ascii="仿宋_GB2312" w:hAnsi="宋体" w:eastAsia="仿宋_GB2312"/>
          <w:color w:val="auto"/>
          <w:sz w:val="30"/>
          <w:szCs w:val="30"/>
        </w:rPr>
        <w:t>，并提供相应的证明（</w:t>
      </w:r>
      <w:r>
        <w:rPr>
          <w:rFonts w:hint="eastAsia" w:ascii="仿宋_GB2312" w:hAnsi="宋体" w:eastAsia="仿宋_GB2312"/>
          <w:color w:val="auto"/>
          <w:sz w:val="30"/>
          <w:szCs w:val="30"/>
        </w:rPr>
        <w:t>截止投标时间，</w:t>
      </w:r>
      <w:r>
        <w:rPr>
          <w:rFonts w:ascii="仿宋_GB2312" w:hAnsi="宋体" w:eastAsia="仿宋_GB2312"/>
          <w:color w:val="auto"/>
          <w:sz w:val="30"/>
          <w:szCs w:val="30"/>
        </w:rPr>
        <w:t>以合同签订日期为准，须至少提供合同封面、签字盖章页及合同内容页的复印件）</w:t>
      </w:r>
      <w:r>
        <w:rPr>
          <w:rFonts w:hint="eastAsia" w:ascii="仿宋_GB2312" w:hAnsi="宋体" w:eastAsia="仿宋_GB2312"/>
          <w:color w:val="auto"/>
          <w:sz w:val="30"/>
          <w:szCs w:val="30"/>
        </w:rPr>
        <w:t>。</w:t>
      </w:r>
    </w:p>
    <w:p>
      <w:pPr>
        <w:widowControl/>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3）提供PC沙箱+零信任安全网关产品厂商</w:t>
      </w:r>
      <w:bookmarkStart w:id="8" w:name="_GoBack"/>
      <w:bookmarkEnd w:id="8"/>
      <w:r>
        <w:rPr>
          <w:rFonts w:ascii="仿宋_GB2312" w:hAnsi="宋体" w:eastAsia="仿宋_GB2312"/>
          <w:color w:val="auto"/>
          <w:sz w:val="30"/>
          <w:szCs w:val="30"/>
        </w:rPr>
        <w:t>授权书</w:t>
      </w:r>
      <w:r>
        <w:rPr>
          <w:rFonts w:hint="eastAsia" w:ascii="仿宋_GB2312" w:hAnsi="宋体" w:eastAsia="仿宋_GB2312"/>
          <w:color w:val="auto"/>
          <w:sz w:val="30"/>
          <w:szCs w:val="30"/>
        </w:rPr>
        <w:t>和</w:t>
      </w:r>
      <w:r>
        <w:rPr>
          <w:rFonts w:ascii="仿宋_GB2312" w:hAnsi="宋体" w:eastAsia="仿宋_GB2312"/>
          <w:color w:val="auto"/>
          <w:sz w:val="30"/>
          <w:szCs w:val="30"/>
        </w:rPr>
        <w:t>售后服务承诺</w:t>
      </w:r>
      <w:r>
        <w:rPr>
          <w:rFonts w:hint="eastAsia" w:ascii="仿宋_GB2312" w:hAnsi="宋体" w:eastAsia="仿宋_GB2312"/>
          <w:color w:val="auto"/>
          <w:sz w:val="30"/>
          <w:szCs w:val="30"/>
        </w:rPr>
        <w:t>函。</w:t>
      </w:r>
    </w:p>
    <w:p>
      <w:pPr>
        <w:adjustRightInd/>
        <w:spacing w:before="97" w:beforeLines="30" w:after="97" w:afterLines="30" w:line="360" w:lineRule="auto"/>
        <w:textAlignment w:val="auto"/>
        <w:outlineLvl w:val="0"/>
        <w:rPr>
          <w:rFonts w:ascii="黑体" w:hAnsi="黑体" w:eastAsia="黑体"/>
          <w:b/>
          <w:bCs/>
          <w:color w:val="auto"/>
          <w:sz w:val="32"/>
          <w:szCs w:val="32"/>
        </w:rPr>
      </w:pPr>
      <w:r>
        <w:rPr>
          <w:rFonts w:ascii="黑体" w:hAnsi="黑体" w:eastAsia="黑体"/>
          <w:b/>
          <w:bCs/>
          <w:color w:val="auto"/>
          <w:sz w:val="32"/>
          <w:szCs w:val="32"/>
        </w:rPr>
        <w:t>5.</w:t>
      </w:r>
      <w:r>
        <w:rPr>
          <w:rFonts w:hint="eastAsia" w:ascii="黑体" w:hAnsi="黑体" w:eastAsia="黑体"/>
          <w:b/>
          <w:bCs/>
          <w:color w:val="auto"/>
          <w:sz w:val="32"/>
          <w:szCs w:val="32"/>
        </w:rPr>
        <w:t>技术要求</w:t>
      </w:r>
    </w:p>
    <w:p>
      <w:pPr>
        <w:pStyle w:val="3"/>
        <w:keepNext w:val="0"/>
        <w:keepLines w:val="0"/>
        <w:widowControl w:val="0"/>
        <w:tabs>
          <w:tab w:val="left" w:pos="527"/>
        </w:tabs>
        <w:adjustRightInd w:val="0"/>
        <w:spacing w:line="560" w:lineRule="exact"/>
        <w:contextualSpacing/>
        <w:jc w:val="both"/>
        <w:rPr>
          <w:rFonts w:ascii="楷体_GB2312" w:eastAsia="楷体_GB2312"/>
          <w:b/>
          <w:color w:val="auto"/>
          <w:sz w:val="30"/>
          <w:szCs w:val="30"/>
        </w:rPr>
      </w:pPr>
      <w:r>
        <w:rPr>
          <w:rFonts w:ascii="楷体_GB2312" w:eastAsia="楷体_GB2312"/>
          <w:b/>
          <w:color w:val="auto"/>
          <w:sz w:val="30"/>
          <w:szCs w:val="30"/>
        </w:rPr>
        <w:t>5.1</w:t>
      </w:r>
      <w:r>
        <w:rPr>
          <w:rFonts w:hint="eastAsia" w:ascii="楷体_GB2312" w:eastAsia="楷体_GB2312"/>
          <w:b/>
          <w:color w:val="auto"/>
          <w:sz w:val="30"/>
          <w:szCs w:val="30"/>
        </w:rPr>
        <w:t>总体要求</w:t>
      </w:r>
    </w:p>
    <w:tbl>
      <w:tblPr>
        <w:tblStyle w:val="13"/>
        <w:tblW w:w="8505" w:type="dxa"/>
        <w:tblInd w:w="-15" w:type="dxa"/>
        <w:tblLayout w:type="fixed"/>
        <w:tblCellMar>
          <w:top w:w="15" w:type="dxa"/>
          <w:left w:w="15" w:type="dxa"/>
          <w:bottom w:w="15" w:type="dxa"/>
          <w:right w:w="15" w:type="dxa"/>
        </w:tblCellMar>
      </w:tblPr>
      <w:tblGrid>
        <w:gridCol w:w="709"/>
        <w:gridCol w:w="1276"/>
        <w:gridCol w:w="6520"/>
      </w:tblGrid>
      <w:tr>
        <w:tblPrEx>
          <w:tblLayout w:type="fixed"/>
          <w:tblCellMar>
            <w:top w:w="15" w:type="dxa"/>
            <w:left w:w="15" w:type="dxa"/>
            <w:bottom w:w="15" w:type="dxa"/>
            <w:right w:w="15" w:type="dxa"/>
          </w:tblCellMar>
        </w:tblPrEx>
        <w:trPr>
          <w:trHeight w:val="336" w:hRule="atLeast"/>
        </w:trPr>
        <w:tc>
          <w:tcPr>
            <w:tcW w:w="70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80" w:lineRule="exact"/>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序号</w:t>
            </w:r>
          </w:p>
        </w:tc>
        <w:tc>
          <w:tcPr>
            <w:tcW w:w="12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80" w:lineRule="exact"/>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名称</w:t>
            </w:r>
          </w:p>
        </w:tc>
        <w:tc>
          <w:tcPr>
            <w:tcW w:w="65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80" w:lineRule="exact"/>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总体要求</w:t>
            </w:r>
          </w:p>
        </w:tc>
      </w:tr>
      <w:tr>
        <w:tblPrEx>
          <w:tblLayout w:type="fixed"/>
          <w:tblCellMar>
            <w:top w:w="15" w:type="dxa"/>
            <w:left w:w="15" w:type="dxa"/>
            <w:bottom w:w="15" w:type="dxa"/>
            <w:right w:w="15" w:type="dxa"/>
          </w:tblCellMar>
        </w:tblPrEx>
        <w:trPr>
          <w:trHeight w:val="1230" w:hRule="atLeast"/>
        </w:trPr>
        <w:tc>
          <w:tcPr>
            <w:tcW w:w="70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1</w:t>
            </w:r>
          </w:p>
        </w:tc>
        <w:tc>
          <w:tcPr>
            <w:tcW w:w="12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PC沙箱</w:t>
            </w:r>
          </w:p>
        </w:tc>
        <w:tc>
          <w:tcPr>
            <w:tcW w:w="65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实现对PC应用的DLP保护，提供数据隔离、数据加密、应用控制、网络拦截、水印技术、截屏监控、打印控制等安全能力，支持应用安全策略、访问安全策略、数据隔离加密等防护。</w:t>
            </w:r>
            <w:r>
              <w:rPr>
                <w:rFonts w:hint="eastAsia" w:ascii="仿宋_GB2312" w:hAnsi="宋体" w:eastAsia="仿宋_GB2312"/>
                <w:color w:val="auto"/>
                <w:sz w:val="28"/>
                <w:szCs w:val="28"/>
              </w:rPr>
              <w:br w:type="textWrapping"/>
            </w:r>
            <w:r>
              <w:rPr>
                <w:rFonts w:hint="eastAsia" w:ascii="仿宋_GB2312" w:hAnsi="宋体" w:eastAsia="仿宋_GB2312"/>
                <w:color w:val="auto"/>
                <w:sz w:val="28"/>
                <w:szCs w:val="28"/>
              </w:rPr>
              <w:t>质保期：一年质保。</w:t>
            </w:r>
          </w:p>
        </w:tc>
      </w:tr>
      <w:tr>
        <w:tblPrEx>
          <w:tblLayout w:type="fixed"/>
          <w:tblCellMar>
            <w:top w:w="15" w:type="dxa"/>
            <w:left w:w="15" w:type="dxa"/>
            <w:bottom w:w="15" w:type="dxa"/>
            <w:right w:w="15" w:type="dxa"/>
          </w:tblCellMar>
        </w:tblPrEx>
        <w:trPr>
          <w:trHeight w:val="1230" w:hRule="atLeast"/>
        </w:trPr>
        <w:tc>
          <w:tcPr>
            <w:tcW w:w="70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2</w:t>
            </w:r>
          </w:p>
        </w:tc>
        <w:tc>
          <w:tcPr>
            <w:tcW w:w="12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零信任安全网关</w:t>
            </w:r>
          </w:p>
        </w:tc>
        <w:tc>
          <w:tcPr>
            <w:tcW w:w="65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支持实现零信任安全接入、隧道加密、访问管理、安全管理等零信任网关能力。</w:t>
            </w:r>
            <w:r>
              <w:rPr>
                <w:rFonts w:hint="eastAsia" w:ascii="仿宋_GB2312" w:hAnsi="宋体" w:eastAsia="仿宋_GB2312"/>
                <w:color w:val="auto"/>
                <w:sz w:val="28"/>
                <w:szCs w:val="28"/>
              </w:rPr>
              <w:br w:type="textWrapping"/>
            </w:r>
            <w:r>
              <w:rPr>
                <w:rFonts w:hint="eastAsia" w:ascii="仿宋_GB2312" w:hAnsi="宋体" w:eastAsia="仿宋_GB2312"/>
                <w:color w:val="auto"/>
                <w:sz w:val="28"/>
                <w:szCs w:val="28"/>
              </w:rPr>
              <w:t>质保期：一年质保。</w:t>
            </w:r>
          </w:p>
        </w:tc>
      </w:tr>
      <w:tr>
        <w:tblPrEx>
          <w:tblLayout w:type="fixed"/>
          <w:tblCellMar>
            <w:top w:w="15" w:type="dxa"/>
            <w:left w:w="15" w:type="dxa"/>
            <w:bottom w:w="15" w:type="dxa"/>
            <w:right w:w="15" w:type="dxa"/>
          </w:tblCellMar>
        </w:tblPrEx>
        <w:trPr>
          <w:trHeight w:val="1230" w:hRule="atLeast"/>
        </w:trPr>
        <w:tc>
          <w:tcPr>
            <w:tcW w:w="70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3</w:t>
            </w:r>
          </w:p>
        </w:tc>
        <w:tc>
          <w:tcPr>
            <w:tcW w:w="12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服务器</w:t>
            </w:r>
          </w:p>
        </w:tc>
        <w:tc>
          <w:tcPr>
            <w:tcW w:w="65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满足部署PC沙箱管理平台和零信任安全网关相关技术要求。</w:t>
            </w:r>
          </w:p>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质保期：</w:t>
            </w:r>
            <w:r>
              <w:rPr>
                <w:rFonts w:ascii="仿宋_GB2312" w:hAnsi="宋体" w:eastAsia="仿宋_GB2312"/>
                <w:color w:val="auto"/>
                <w:sz w:val="28"/>
                <w:szCs w:val="28"/>
              </w:rPr>
              <w:t>三年质保</w:t>
            </w:r>
          </w:p>
        </w:tc>
      </w:tr>
    </w:tbl>
    <w:p>
      <w:pPr>
        <w:pStyle w:val="3"/>
        <w:keepNext w:val="0"/>
        <w:keepLines w:val="0"/>
        <w:widowControl w:val="0"/>
        <w:tabs>
          <w:tab w:val="left" w:pos="527"/>
        </w:tabs>
        <w:adjustRightInd w:val="0"/>
        <w:spacing w:line="560" w:lineRule="exact"/>
        <w:contextualSpacing/>
        <w:jc w:val="both"/>
        <w:rPr>
          <w:rFonts w:ascii="楷体_GB2312" w:eastAsia="楷体_GB2312"/>
          <w:b/>
          <w:color w:val="auto"/>
          <w:sz w:val="30"/>
          <w:szCs w:val="30"/>
        </w:rPr>
      </w:pPr>
      <w:r>
        <w:rPr>
          <w:rFonts w:ascii="楷体_GB2312" w:eastAsia="楷体_GB2312"/>
          <w:b/>
          <w:color w:val="auto"/>
          <w:sz w:val="30"/>
          <w:szCs w:val="30"/>
        </w:rPr>
        <w:t xml:space="preserve">5.2 </w:t>
      </w:r>
      <w:r>
        <w:rPr>
          <w:rFonts w:hint="eastAsia" w:ascii="楷体_GB2312" w:eastAsia="楷体_GB2312"/>
          <w:b/>
          <w:color w:val="auto"/>
          <w:sz w:val="30"/>
          <w:szCs w:val="30"/>
        </w:rPr>
        <w:t>P</w:t>
      </w:r>
      <w:r>
        <w:rPr>
          <w:rFonts w:ascii="楷体_GB2312" w:eastAsia="楷体_GB2312"/>
          <w:b/>
          <w:color w:val="auto"/>
          <w:sz w:val="30"/>
          <w:szCs w:val="30"/>
        </w:rPr>
        <w:t>C</w:t>
      </w:r>
      <w:r>
        <w:rPr>
          <w:rFonts w:hint="eastAsia" w:ascii="楷体_GB2312" w:eastAsia="楷体_GB2312"/>
          <w:b/>
          <w:color w:val="auto"/>
          <w:sz w:val="30"/>
          <w:szCs w:val="30"/>
        </w:rPr>
        <w:t>沙箱技术要求</w:t>
      </w:r>
    </w:p>
    <w:p>
      <w:pPr>
        <w:pStyle w:val="23"/>
        <w:numPr>
          <w:ilvl w:val="0"/>
          <w:numId w:val="2"/>
        </w:numPr>
        <w:rPr>
          <w:rFonts w:ascii="仿宋_GB2312" w:hAnsi="宋体" w:eastAsia="仿宋_GB2312"/>
          <w:color w:val="auto"/>
          <w:sz w:val="30"/>
          <w:szCs w:val="30"/>
        </w:rPr>
      </w:pPr>
      <w:r>
        <w:rPr>
          <w:rFonts w:hint="eastAsia" w:ascii="仿宋_GB2312" w:hAnsi="宋体" w:eastAsia="仿宋_GB2312"/>
          <w:color w:val="auto"/>
          <w:sz w:val="30"/>
          <w:szCs w:val="30"/>
        </w:rPr>
        <w:t>Windows操作系统兼容：支持Win7 x64和Win10 x64操作系统。</w:t>
      </w:r>
    </w:p>
    <w:p>
      <w:pPr>
        <w:pStyle w:val="23"/>
        <w:numPr>
          <w:ilvl w:val="0"/>
          <w:numId w:val="2"/>
        </w:numPr>
        <w:rPr>
          <w:rFonts w:ascii="仿宋_GB2312" w:hAnsi="宋体" w:eastAsia="仿宋_GB2312"/>
          <w:color w:val="auto"/>
          <w:sz w:val="30"/>
          <w:szCs w:val="30"/>
        </w:rPr>
      </w:pPr>
      <w:r>
        <w:rPr>
          <w:rFonts w:hint="eastAsia" w:ascii="仿宋_GB2312" w:hAnsi="宋体" w:eastAsia="仿宋_GB2312"/>
          <w:color w:val="auto"/>
          <w:sz w:val="30"/>
          <w:szCs w:val="30"/>
        </w:rPr>
        <w:t>★办公应用兼容支持:PC沙箱集成零信任接入能力，兼容支持B/S应用。在不对现有业务系统做任何业务逻辑、网络架构、访问配置更改的前提下，可通过新采购的PC沙箱，在原有内/外网防火墙、内外网隔离网闸等安全设备的协同配合下，无缝实现仅允许应用于互联网和华能外网网络环境中的现有业务系统通过PC沙箱保障安全运行、并在受保护的情况下受控访问位于华能内网的系统服务端，严格禁止现有业务系统在PC沙箱外的非安全环境中进行使用。</w:t>
      </w:r>
    </w:p>
    <w:p>
      <w:pPr>
        <w:pStyle w:val="23"/>
        <w:numPr>
          <w:ilvl w:val="0"/>
          <w:numId w:val="2"/>
        </w:numPr>
        <w:rPr>
          <w:rFonts w:ascii="仿宋_GB2312" w:hAnsi="宋体" w:eastAsia="仿宋_GB2312"/>
          <w:color w:val="auto"/>
          <w:sz w:val="30"/>
          <w:szCs w:val="30"/>
        </w:rPr>
      </w:pPr>
      <w:r>
        <w:rPr>
          <w:rFonts w:hint="eastAsia" w:ascii="仿宋_GB2312" w:hAnsi="宋体" w:eastAsia="仿宋_GB2312"/>
          <w:color w:val="auto"/>
          <w:sz w:val="30"/>
          <w:szCs w:val="30"/>
        </w:rPr>
        <w:t>★安全沙箱隔离:在终端本地操作系统建立独立工作域，与本地文件系统隔离。</w:t>
      </w:r>
    </w:p>
    <w:p>
      <w:pPr>
        <w:pStyle w:val="23"/>
        <w:numPr>
          <w:ilvl w:val="0"/>
          <w:numId w:val="2"/>
        </w:numPr>
        <w:rPr>
          <w:rFonts w:ascii="仿宋_GB2312" w:hAnsi="宋体" w:eastAsia="仿宋_GB2312"/>
          <w:color w:val="auto"/>
          <w:sz w:val="30"/>
          <w:szCs w:val="30"/>
        </w:rPr>
      </w:pPr>
      <w:r>
        <w:rPr>
          <w:rFonts w:hint="eastAsia" w:ascii="仿宋_GB2312" w:hAnsi="宋体" w:eastAsia="仿宋_GB2312"/>
          <w:color w:val="auto"/>
          <w:sz w:val="30"/>
          <w:szCs w:val="30"/>
        </w:rPr>
        <w:t>应用控制策略配置:针对每个工作域可运行应用支持白名单配置管理，白名单之外的应用禁止在工作域内运行。</w:t>
      </w:r>
    </w:p>
    <w:p>
      <w:pPr>
        <w:pStyle w:val="23"/>
        <w:numPr>
          <w:ilvl w:val="0"/>
          <w:numId w:val="2"/>
        </w:numPr>
        <w:rPr>
          <w:rFonts w:ascii="仿宋_GB2312" w:hAnsi="宋体" w:eastAsia="仿宋_GB2312"/>
          <w:color w:val="auto"/>
          <w:sz w:val="30"/>
          <w:szCs w:val="30"/>
        </w:rPr>
      </w:pPr>
      <w:r>
        <w:rPr>
          <w:rFonts w:hint="eastAsia" w:ascii="仿宋_GB2312" w:hAnsi="宋体" w:eastAsia="仿宋_GB2312"/>
          <w:color w:val="auto"/>
          <w:sz w:val="30"/>
          <w:szCs w:val="30"/>
        </w:rPr>
        <w:t>终端工作域应用导入:终端本地操作系统已安装应用，可通过拖拽方式导入工作域，不需要二次安装。</w:t>
      </w:r>
    </w:p>
    <w:p>
      <w:pPr>
        <w:pStyle w:val="23"/>
        <w:numPr>
          <w:ilvl w:val="0"/>
          <w:numId w:val="2"/>
        </w:numPr>
        <w:rPr>
          <w:rFonts w:ascii="仿宋_GB2312" w:hAnsi="宋体" w:eastAsia="仿宋_GB2312"/>
          <w:color w:val="auto"/>
          <w:sz w:val="30"/>
          <w:szCs w:val="30"/>
        </w:rPr>
      </w:pPr>
      <w:r>
        <w:rPr>
          <w:rFonts w:hint="eastAsia" w:ascii="仿宋_GB2312" w:hAnsi="宋体" w:eastAsia="仿宋_GB2312"/>
          <w:color w:val="auto"/>
          <w:sz w:val="30"/>
          <w:szCs w:val="30"/>
        </w:rPr>
        <w:t>终端环境检测:对终端操作系统环境进行策略检查，不符合策略要求的环境，限制登录使用工作域。</w:t>
      </w:r>
    </w:p>
    <w:p>
      <w:pPr>
        <w:pStyle w:val="23"/>
        <w:numPr>
          <w:ilvl w:val="0"/>
          <w:numId w:val="2"/>
        </w:numPr>
        <w:rPr>
          <w:rFonts w:ascii="仿宋_GB2312" w:hAnsi="宋体" w:eastAsia="仿宋_GB2312"/>
          <w:color w:val="auto"/>
          <w:sz w:val="30"/>
          <w:szCs w:val="30"/>
        </w:rPr>
      </w:pPr>
      <w:r>
        <w:rPr>
          <w:rFonts w:hint="eastAsia" w:ascii="仿宋_GB2312" w:hAnsi="宋体" w:eastAsia="仿宋_GB2312"/>
          <w:color w:val="auto"/>
          <w:sz w:val="30"/>
          <w:szCs w:val="30"/>
        </w:rPr>
        <w:t>工作域数据防泄漏:支持全屏或沙箱应用水印，水印内容格式支持自定义。</w:t>
      </w:r>
    </w:p>
    <w:p>
      <w:pPr>
        <w:pStyle w:val="23"/>
        <w:numPr>
          <w:ilvl w:val="0"/>
          <w:numId w:val="2"/>
        </w:numPr>
        <w:rPr>
          <w:rFonts w:ascii="仿宋_GB2312" w:hAnsi="宋体" w:eastAsia="仿宋_GB2312"/>
          <w:color w:val="auto"/>
          <w:sz w:val="30"/>
          <w:szCs w:val="30"/>
        </w:rPr>
      </w:pPr>
      <w:r>
        <w:rPr>
          <w:rFonts w:hint="eastAsia" w:ascii="仿宋_GB2312" w:hAnsi="宋体" w:eastAsia="仿宋_GB2312"/>
          <w:color w:val="auto"/>
          <w:sz w:val="30"/>
          <w:szCs w:val="30"/>
        </w:rPr>
        <w:t>工作域操作限制：工作域可限制用户进行截屏/录屏操作；策略允许用户进行截屏/录屏操作时,能够进行操作审计；可支持配置策略，禁止向同级/更低级别域通过剪切板交换数据；工作域对工作域内的文件提供透明加解密，对用户无感知；工作域可以禁止用户打印操作；如果允许打印操作，打印内容显示水印。</w:t>
      </w:r>
    </w:p>
    <w:p>
      <w:pPr>
        <w:pStyle w:val="23"/>
        <w:numPr>
          <w:ilvl w:val="0"/>
          <w:numId w:val="2"/>
        </w:numPr>
        <w:rPr>
          <w:rFonts w:ascii="仿宋_GB2312" w:hAnsi="宋体" w:eastAsia="仿宋_GB2312"/>
          <w:color w:val="auto"/>
          <w:sz w:val="30"/>
          <w:szCs w:val="30"/>
        </w:rPr>
      </w:pPr>
      <w:r>
        <w:rPr>
          <w:rFonts w:hint="eastAsia" w:ascii="仿宋_GB2312" w:hAnsi="宋体" w:eastAsia="仿宋_GB2312"/>
          <w:color w:val="auto"/>
          <w:sz w:val="30"/>
          <w:szCs w:val="30"/>
        </w:rPr>
        <w:t>域间文件交换策略:支持多级工作域的定义和使用，缺省仅支持从低级别域到高级别域的文件单向流入策略。</w:t>
      </w:r>
    </w:p>
    <w:p>
      <w:pPr>
        <w:pStyle w:val="3"/>
        <w:keepNext w:val="0"/>
        <w:keepLines w:val="0"/>
        <w:widowControl w:val="0"/>
        <w:tabs>
          <w:tab w:val="left" w:pos="527"/>
        </w:tabs>
        <w:adjustRightInd w:val="0"/>
        <w:spacing w:line="560" w:lineRule="exact"/>
        <w:contextualSpacing/>
        <w:jc w:val="both"/>
        <w:rPr>
          <w:rFonts w:ascii="楷体_GB2312" w:eastAsia="楷体_GB2312"/>
          <w:b/>
          <w:color w:val="auto"/>
          <w:sz w:val="30"/>
          <w:szCs w:val="30"/>
        </w:rPr>
      </w:pPr>
      <w:r>
        <w:rPr>
          <w:rFonts w:ascii="楷体_GB2312" w:eastAsia="楷体_GB2312"/>
          <w:b/>
          <w:color w:val="auto"/>
          <w:sz w:val="30"/>
          <w:szCs w:val="30"/>
        </w:rPr>
        <w:t>5.3</w:t>
      </w:r>
      <w:r>
        <w:rPr>
          <w:rFonts w:hint="eastAsia" w:ascii="楷体_GB2312" w:eastAsia="楷体_GB2312"/>
          <w:b/>
          <w:color w:val="auto"/>
          <w:sz w:val="30"/>
          <w:szCs w:val="30"/>
        </w:rPr>
        <w:t>零信任安全网关技术要求</w:t>
      </w:r>
    </w:p>
    <w:p>
      <w:pPr>
        <w:pStyle w:val="23"/>
        <w:numPr>
          <w:ilvl w:val="0"/>
          <w:numId w:val="3"/>
        </w:numPr>
        <w:rPr>
          <w:rFonts w:ascii="仿宋_GB2312" w:hAnsi="宋体" w:eastAsia="仿宋_GB2312"/>
          <w:color w:val="auto"/>
          <w:sz w:val="30"/>
          <w:szCs w:val="30"/>
        </w:rPr>
      </w:pPr>
      <w:r>
        <w:rPr>
          <w:rFonts w:hint="eastAsia" w:ascii="仿宋_GB2312" w:hAnsi="宋体" w:eastAsia="仿宋_GB2312"/>
          <w:color w:val="auto"/>
          <w:sz w:val="30"/>
          <w:szCs w:val="30"/>
        </w:rPr>
        <w:t>★业务服务端端口隐藏：现有业务系统和新增零信任网关均无需对外暴露任何TCP端口（不需在现有华能外网互联网防火墙或VPN网关增加映射TCP端口到互联网）。使用UDP单包授权(SPA)技术，仅允许认证后的用户才能通过SDP零信任网关正常访问业务，从而减少互联网暴露面，降低恶意攻击和入侵风险。在现有华能外网互联网防火墙上映射SDP网关端口时，仅需对外映射风险性低的UDP端口，而无需对外映射TCP端口。</w:t>
      </w:r>
    </w:p>
    <w:p>
      <w:pPr>
        <w:pStyle w:val="23"/>
        <w:numPr>
          <w:ilvl w:val="0"/>
          <w:numId w:val="3"/>
        </w:numPr>
        <w:rPr>
          <w:rFonts w:ascii="仿宋_GB2312" w:hAnsi="宋体" w:eastAsia="仿宋_GB2312"/>
          <w:color w:val="auto"/>
          <w:sz w:val="30"/>
          <w:szCs w:val="30"/>
        </w:rPr>
      </w:pPr>
      <w:r>
        <w:rPr>
          <w:rFonts w:hint="eastAsia" w:ascii="仿宋_GB2312" w:hAnsi="宋体" w:eastAsia="仿宋_GB2312"/>
          <w:color w:val="auto"/>
          <w:sz w:val="30"/>
          <w:szCs w:val="30"/>
        </w:rPr>
        <w:t>★客户端形态：支持以下三种形态：（1）支持单客户端形态，可支持以SDP客户端独立运行的形态使用；（2）可定制化开发支持与PC沙箱融合，依附于PC沙箱、移动端沙箱运行，在端侧仅需进行一次登录操作；（3）SDK形态，支持以SDK形态与门户系统进行集成使用。</w:t>
      </w:r>
    </w:p>
    <w:p>
      <w:pPr>
        <w:pStyle w:val="23"/>
        <w:numPr>
          <w:ilvl w:val="0"/>
          <w:numId w:val="3"/>
        </w:numPr>
        <w:rPr>
          <w:rFonts w:ascii="仿宋_GB2312" w:hAnsi="宋体" w:eastAsia="仿宋_GB2312"/>
          <w:color w:val="auto"/>
          <w:sz w:val="30"/>
          <w:szCs w:val="30"/>
        </w:rPr>
      </w:pPr>
      <w:r>
        <w:rPr>
          <w:rFonts w:hint="eastAsia" w:ascii="仿宋_GB2312" w:hAnsi="宋体" w:eastAsia="仿宋_GB2312"/>
          <w:color w:val="auto"/>
          <w:sz w:val="30"/>
          <w:szCs w:val="30"/>
        </w:rPr>
        <w:t>★操作系统兼容（单SDP客户端形态）：当以单独的客户端存在时，支持鸿蒙、Android 7.0-11.x、iOS 11.0-14.x、Windows 7 32/64bit、Windows 10 32/64bit、MacOS 10.12以上等终端的接入。</w:t>
      </w:r>
    </w:p>
    <w:p>
      <w:pPr>
        <w:pStyle w:val="23"/>
        <w:numPr>
          <w:ilvl w:val="0"/>
          <w:numId w:val="3"/>
        </w:numPr>
        <w:rPr>
          <w:rFonts w:ascii="仿宋_GB2312" w:hAnsi="宋体" w:eastAsia="仿宋_GB2312"/>
          <w:color w:val="auto"/>
          <w:sz w:val="30"/>
          <w:szCs w:val="30"/>
        </w:rPr>
      </w:pPr>
      <w:r>
        <w:rPr>
          <w:rFonts w:hint="eastAsia" w:ascii="仿宋_GB2312" w:hAnsi="宋体" w:eastAsia="仿宋_GB2312"/>
          <w:color w:val="auto"/>
          <w:sz w:val="30"/>
          <w:szCs w:val="30"/>
        </w:rPr>
        <w:t>连续认证失败锁定：连续认证失败超过指定次数后，在指定时间内不允许再次登录。</w:t>
      </w:r>
    </w:p>
    <w:p>
      <w:pPr>
        <w:pStyle w:val="23"/>
        <w:numPr>
          <w:ilvl w:val="0"/>
          <w:numId w:val="3"/>
        </w:numPr>
        <w:rPr>
          <w:rFonts w:ascii="仿宋_GB2312" w:hAnsi="宋体" w:eastAsia="仿宋_GB2312"/>
          <w:color w:val="auto"/>
          <w:sz w:val="30"/>
          <w:szCs w:val="30"/>
        </w:rPr>
      </w:pPr>
      <w:r>
        <w:rPr>
          <w:rFonts w:hint="eastAsia" w:ascii="仿宋_GB2312" w:hAnsi="宋体" w:eastAsia="仿宋_GB2312"/>
          <w:color w:val="auto"/>
          <w:sz w:val="30"/>
          <w:szCs w:val="30"/>
        </w:rPr>
        <w:t>设备健康度检测：移动设备支持检测是否root/越狱、是否开启锁屏密码、是否开启指纹/面容解锁、是否运行在模拟器中、是否开启全盘加密、是否打开调试模式等。</w:t>
      </w:r>
    </w:p>
    <w:p>
      <w:pPr>
        <w:pStyle w:val="23"/>
        <w:numPr>
          <w:ilvl w:val="0"/>
          <w:numId w:val="3"/>
        </w:numPr>
        <w:rPr>
          <w:rFonts w:ascii="仿宋_GB2312" w:hAnsi="宋体" w:eastAsia="仿宋_GB2312"/>
          <w:color w:val="auto"/>
          <w:sz w:val="30"/>
          <w:szCs w:val="30"/>
        </w:rPr>
      </w:pPr>
      <w:r>
        <w:rPr>
          <w:rFonts w:hint="eastAsia" w:ascii="仿宋_GB2312" w:hAnsi="宋体" w:eastAsia="仿宋_GB2312"/>
          <w:color w:val="auto"/>
          <w:sz w:val="30"/>
          <w:szCs w:val="30"/>
        </w:rPr>
        <w:t>接入设备数量限制：支持针对移动端和PC端分别设置同时允许登录的设备数量。</w:t>
      </w:r>
    </w:p>
    <w:p>
      <w:pPr>
        <w:pStyle w:val="23"/>
        <w:numPr>
          <w:ilvl w:val="0"/>
          <w:numId w:val="3"/>
        </w:numPr>
        <w:rPr>
          <w:rFonts w:ascii="仿宋_GB2312" w:hAnsi="宋体" w:eastAsia="仿宋_GB2312"/>
          <w:color w:val="auto"/>
          <w:sz w:val="30"/>
          <w:szCs w:val="30"/>
        </w:rPr>
      </w:pPr>
      <w:r>
        <w:rPr>
          <w:rFonts w:hint="eastAsia" w:ascii="仿宋_GB2312" w:hAnsi="宋体" w:eastAsia="仿宋_GB2312"/>
          <w:color w:val="auto"/>
          <w:sz w:val="30"/>
          <w:szCs w:val="30"/>
        </w:rPr>
        <w:t>隧道协议：网关传输通道使用UDP协议，网关UDP端口对没有通过认证的用户不可见。</w:t>
      </w:r>
    </w:p>
    <w:p>
      <w:pPr>
        <w:pStyle w:val="23"/>
        <w:numPr>
          <w:ilvl w:val="0"/>
          <w:numId w:val="3"/>
        </w:numPr>
        <w:ind w:left="1021"/>
        <w:rPr>
          <w:rFonts w:ascii="仿宋_GB2312" w:hAnsi="宋体" w:eastAsia="仿宋_GB2312"/>
          <w:color w:val="auto"/>
          <w:sz w:val="30"/>
          <w:szCs w:val="30"/>
        </w:rPr>
      </w:pPr>
      <w:r>
        <w:rPr>
          <w:rFonts w:hint="eastAsia" w:ascii="仿宋_GB2312" w:hAnsi="宋体" w:eastAsia="仿宋_GB2312"/>
          <w:color w:val="auto"/>
          <w:sz w:val="30"/>
          <w:szCs w:val="30"/>
        </w:rPr>
        <w:t>最小化授权管理：可根据用户状态、时间、位置、网络、设备类型、IP地址等信息综合评估定义访问权限，根据评估结果可基于虚拟组、组织架构、用户做最小化授权。</w:t>
      </w:r>
    </w:p>
    <w:p>
      <w:pPr>
        <w:pStyle w:val="23"/>
        <w:ind w:left="1021"/>
        <w:rPr>
          <w:rFonts w:ascii="仿宋_GB2312" w:hAnsi="宋体" w:eastAsia="仿宋_GB2312"/>
          <w:color w:val="auto"/>
          <w:sz w:val="30"/>
          <w:szCs w:val="30"/>
        </w:rPr>
      </w:pPr>
    </w:p>
    <w:p>
      <w:pPr>
        <w:pStyle w:val="3"/>
        <w:keepNext w:val="0"/>
        <w:keepLines w:val="0"/>
        <w:widowControl w:val="0"/>
        <w:tabs>
          <w:tab w:val="left" w:pos="527"/>
        </w:tabs>
        <w:adjustRightInd w:val="0"/>
        <w:spacing w:line="560" w:lineRule="exact"/>
        <w:contextualSpacing/>
        <w:jc w:val="both"/>
        <w:rPr>
          <w:rFonts w:ascii="楷体_GB2312" w:eastAsia="楷体_GB2312"/>
          <w:b/>
          <w:color w:val="auto"/>
          <w:sz w:val="30"/>
          <w:szCs w:val="30"/>
        </w:rPr>
      </w:pPr>
      <w:r>
        <w:rPr>
          <w:rFonts w:ascii="楷体_GB2312" w:eastAsia="楷体_GB2312"/>
          <w:b/>
          <w:color w:val="auto"/>
          <w:sz w:val="30"/>
          <w:szCs w:val="30"/>
        </w:rPr>
        <w:t>5.4</w:t>
      </w:r>
      <w:r>
        <w:rPr>
          <w:rFonts w:hint="eastAsia" w:ascii="楷体_GB2312" w:eastAsia="楷体_GB2312"/>
          <w:b/>
          <w:color w:val="auto"/>
          <w:sz w:val="30"/>
          <w:szCs w:val="30"/>
        </w:rPr>
        <w:t>服务器技术要求</w:t>
      </w:r>
    </w:p>
    <w:p>
      <w:pPr>
        <w:rPr>
          <w:color w:val="auto"/>
        </w:rPr>
      </w:pPr>
    </w:p>
    <w:tbl>
      <w:tblPr>
        <w:tblStyle w:val="13"/>
        <w:tblW w:w="856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7"/>
        <w:gridCol w:w="184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707" w:type="dxa"/>
            <w:vAlign w:val="center"/>
          </w:tcPr>
          <w:p>
            <w:pPr>
              <w:spacing w:line="440" w:lineRule="exact"/>
              <w:jc w:val="center"/>
              <w:rPr>
                <w:rFonts w:ascii="仿宋_GB2312" w:hAnsi="宋体" w:eastAsia="仿宋_GB2312"/>
                <w:b/>
                <w:bCs/>
                <w:color w:val="auto"/>
                <w:sz w:val="28"/>
                <w:szCs w:val="28"/>
              </w:rPr>
            </w:pPr>
            <w:r>
              <w:rPr>
                <w:rFonts w:ascii="仿宋_GB2312" w:hAnsi="宋体" w:eastAsia="仿宋_GB2312"/>
                <w:b/>
                <w:bCs/>
                <w:color w:val="auto"/>
                <w:sz w:val="28"/>
                <w:szCs w:val="28"/>
              </w:rPr>
              <w:t>序</w:t>
            </w:r>
            <w:r>
              <w:rPr>
                <w:rFonts w:hint="eastAsia" w:ascii="仿宋_GB2312" w:hAnsi="宋体" w:eastAsia="仿宋_GB2312"/>
                <w:b/>
                <w:bCs/>
                <w:color w:val="auto"/>
                <w:sz w:val="28"/>
                <w:szCs w:val="28"/>
              </w:rPr>
              <w:t>号</w:t>
            </w:r>
            <w:r>
              <w:rPr>
                <w:rFonts w:ascii="仿宋_GB2312" w:hAnsi="宋体" w:eastAsia="仿宋_GB2312"/>
                <w:b/>
                <w:bCs/>
                <w:color w:val="auto"/>
                <w:sz w:val="28"/>
                <w:szCs w:val="28"/>
              </w:rPr>
              <w:t xml:space="preserve"> </w:t>
            </w:r>
          </w:p>
        </w:tc>
        <w:tc>
          <w:tcPr>
            <w:tcW w:w="1849" w:type="dxa"/>
            <w:vAlign w:val="center"/>
          </w:tcPr>
          <w:p>
            <w:pPr>
              <w:spacing w:line="440" w:lineRule="exact"/>
              <w:jc w:val="center"/>
              <w:rPr>
                <w:rFonts w:ascii="仿宋_GB2312" w:hAnsi="宋体" w:eastAsia="仿宋_GB2312"/>
                <w:b/>
                <w:bCs/>
                <w:color w:val="auto"/>
                <w:sz w:val="28"/>
                <w:szCs w:val="28"/>
              </w:rPr>
            </w:pPr>
            <w:r>
              <w:rPr>
                <w:rFonts w:ascii="仿宋_GB2312" w:hAnsi="宋体" w:eastAsia="仿宋_GB2312"/>
                <w:b/>
                <w:bCs/>
                <w:color w:val="auto"/>
                <w:sz w:val="28"/>
                <w:szCs w:val="28"/>
              </w:rPr>
              <w:t>指</w:t>
            </w:r>
            <w:r>
              <w:rPr>
                <w:rFonts w:hint="eastAsia" w:ascii="仿宋_GB2312" w:hAnsi="宋体" w:eastAsia="仿宋_GB2312"/>
                <w:b/>
                <w:bCs/>
                <w:color w:val="auto"/>
                <w:sz w:val="28"/>
                <w:szCs w:val="28"/>
              </w:rPr>
              <w:t xml:space="preserve"> </w:t>
            </w:r>
            <w:r>
              <w:rPr>
                <w:rFonts w:ascii="仿宋_GB2312" w:hAnsi="宋体" w:eastAsia="仿宋_GB2312"/>
                <w:b/>
                <w:bCs/>
                <w:color w:val="auto"/>
                <w:sz w:val="28"/>
                <w:szCs w:val="28"/>
              </w:rPr>
              <w:t xml:space="preserve">标 </w:t>
            </w:r>
          </w:p>
        </w:tc>
        <w:tc>
          <w:tcPr>
            <w:tcW w:w="6012" w:type="dxa"/>
            <w:vAlign w:val="center"/>
          </w:tcPr>
          <w:p>
            <w:pPr>
              <w:spacing w:line="440" w:lineRule="exact"/>
              <w:jc w:val="center"/>
              <w:rPr>
                <w:rFonts w:ascii="仿宋_GB2312" w:hAnsi="宋体" w:eastAsia="仿宋_GB2312"/>
                <w:b/>
                <w:bCs/>
                <w:color w:val="auto"/>
                <w:sz w:val="28"/>
                <w:szCs w:val="28"/>
              </w:rPr>
            </w:pPr>
            <w:r>
              <w:rPr>
                <w:rFonts w:ascii="仿宋_GB2312" w:hAnsi="宋体" w:eastAsia="仿宋_GB2312"/>
                <w:b/>
                <w:bCs/>
                <w:color w:val="auto"/>
                <w:sz w:val="28"/>
                <w:szCs w:val="2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707"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1</w:t>
            </w:r>
          </w:p>
        </w:tc>
        <w:tc>
          <w:tcPr>
            <w:tcW w:w="1849"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 xml:space="preserve">★外观 </w:t>
            </w:r>
          </w:p>
        </w:tc>
        <w:tc>
          <w:tcPr>
            <w:tcW w:w="6012" w:type="dxa"/>
            <w:vAlign w:val="center"/>
          </w:tcPr>
          <w:p>
            <w:pPr>
              <w:spacing w:line="440" w:lineRule="exact"/>
              <w:jc w:val="left"/>
              <w:rPr>
                <w:rFonts w:ascii="仿宋_GB2312" w:hAnsi="宋体" w:eastAsia="仿宋_GB2312"/>
                <w:color w:val="auto"/>
                <w:sz w:val="28"/>
                <w:szCs w:val="28"/>
              </w:rPr>
            </w:pPr>
            <w:r>
              <w:rPr>
                <w:rFonts w:ascii="仿宋_GB2312" w:hAnsi="宋体" w:eastAsia="仿宋_GB2312"/>
                <w:color w:val="auto"/>
                <w:sz w:val="28"/>
                <w:szCs w:val="28"/>
              </w:rPr>
              <w:t>2U机架式机箱，含上架导轨</w:t>
            </w:r>
            <w:r>
              <w:rPr>
                <w:rFonts w:hint="eastAsia" w:ascii="仿宋_GB2312" w:hAnsi="宋体" w:eastAsia="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79" w:hRule="atLeast"/>
          <w:tblCellSpacing w:w="0" w:type="dxa"/>
        </w:trPr>
        <w:tc>
          <w:tcPr>
            <w:tcW w:w="707"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2</w:t>
            </w:r>
          </w:p>
        </w:tc>
        <w:tc>
          <w:tcPr>
            <w:tcW w:w="1849"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 xml:space="preserve">★处理器 </w:t>
            </w:r>
          </w:p>
        </w:tc>
        <w:tc>
          <w:tcPr>
            <w:tcW w:w="6012" w:type="dxa"/>
            <w:vAlign w:val="center"/>
          </w:tcPr>
          <w:p>
            <w:pPr>
              <w:spacing w:line="440" w:lineRule="exact"/>
              <w:jc w:val="left"/>
              <w:rPr>
                <w:rFonts w:ascii="仿宋_GB2312" w:hAnsi="宋体" w:eastAsia="仿宋_GB2312"/>
                <w:color w:val="auto"/>
                <w:sz w:val="28"/>
                <w:szCs w:val="28"/>
              </w:rPr>
            </w:pPr>
            <w:r>
              <w:rPr>
                <w:rFonts w:ascii="仿宋_GB2312" w:hAnsi="宋体" w:eastAsia="仿宋_GB2312"/>
                <w:color w:val="auto"/>
                <w:sz w:val="28"/>
                <w:szCs w:val="28"/>
              </w:rPr>
              <w:t>配置2颗英特尔至强银牌4210 (10核2.2GHz /13.75MB/85W)处理器</w:t>
            </w:r>
            <w:r>
              <w:rPr>
                <w:rFonts w:hint="eastAsia" w:ascii="仿宋_GB2312" w:hAnsi="宋体" w:eastAsia="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707"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3</w:t>
            </w:r>
          </w:p>
        </w:tc>
        <w:tc>
          <w:tcPr>
            <w:tcW w:w="1849"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 xml:space="preserve">★内存 </w:t>
            </w:r>
          </w:p>
        </w:tc>
        <w:tc>
          <w:tcPr>
            <w:tcW w:w="6012" w:type="dxa"/>
            <w:vAlign w:val="center"/>
          </w:tcPr>
          <w:p>
            <w:pPr>
              <w:spacing w:line="440" w:lineRule="exact"/>
              <w:jc w:val="left"/>
              <w:rPr>
                <w:rFonts w:ascii="仿宋_GB2312" w:hAnsi="宋体" w:eastAsia="仿宋_GB2312"/>
                <w:color w:val="auto"/>
                <w:sz w:val="28"/>
                <w:szCs w:val="28"/>
              </w:rPr>
            </w:pPr>
            <w:r>
              <w:rPr>
                <w:rFonts w:hint="eastAsia" w:ascii="仿宋_GB2312" w:hAnsi="宋体" w:eastAsia="仿宋_GB2312"/>
                <w:color w:val="auto"/>
                <w:sz w:val="28"/>
                <w:szCs w:val="28"/>
              </w:rPr>
              <w:t>配置</w:t>
            </w:r>
            <w:r>
              <w:rPr>
                <w:rFonts w:ascii="仿宋_GB2312" w:hAnsi="宋体" w:eastAsia="仿宋_GB2312"/>
                <w:color w:val="auto"/>
                <w:sz w:val="28"/>
                <w:szCs w:val="28"/>
              </w:rPr>
              <w:t>2条16GB DDR4 ECC 内存；标配24个内存插槽</w:t>
            </w:r>
            <w:r>
              <w:rPr>
                <w:rFonts w:hint="eastAsia" w:ascii="仿宋_GB2312" w:hAnsi="宋体" w:eastAsia="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707"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4</w:t>
            </w:r>
          </w:p>
        </w:tc>
        <w:tc>
          <w:tcPr>
            <w:tcW w:w="1849"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 xml:space="preserve">★硬盘 </w:t>
            </w:r>
          </w:p>
        </w:tc>
        <w:tc>
          <w:tcPr>
            <w:tcW w:w="6012" w:type="dxa"/>
            <w:vAlign w:val="center"/>
          </w:tcPr>
          <w:p>
            <w:pPr>
              <w:spacing w:line="440" w:lineRule="exact"/>
              <w:jc w:val="left"/>
              <w:rPr>
                <w:rFonts w:ascii="仿宋_GB2312" w:hAnsi="宋体" w:eastAsia="仿宋_GB2312"/>
                <w:color w:val="auto"/>
                <w:sz w:val="28"/>
                <w:szCs w:val="28"/>
              </w:rPr>
            </w:pPr>
            <w:r>
              <w:rPr>
                <w:rFonts w:hint="eastAsia" w:ascii="仿宋_GB2312" w:hAnsi="宋体" w:eastAsia="仿宋_GB2312"/>
                <w:color w:val="auto"/>
                <w:sz w:val="28"/>
                <w:szCs w:val="28"/>
              </w:rPr>
              <w:t>配置</w:t>
            </w:r>
            <w:r>
              <w:rPr>
                <w:rFonts w:ascii="仿宋_GB2312" w:hAnsi="宋体" w:eastAsia="仿宋_GB2312"/>
                <w:color w:val="auto"/>
                <w:sz w:val="28"/>
                <w:szCs w:val="28"/>
              </w:rPr>
              <w:t>4块2.4TB 10K SAS硬盘；配置SR430C-M 1GB缓存（支持RAID 0/1/5/6/10/50/60）</w:t>
            </w:r>
            <w:r>
              <w:rPr>
                <w:rFonts w:hint="eastAsia" w:ascii="仿宋_GB2312" w:hAnsi="宋体" w:eastAsia="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707" w:type="dxa"/>
            <w:vAlign w:val="center"/>
          </w:tcPr>
          <w:p>
            <w:pPr>
              <w:widowControl/>
              <w:spacing w:line="360" w:lineRule="auto"/>
              <w:jc w:val="center"/>
              <w:rPr>
                <w:rFonts w:ascii="仿宋_GB2312" w:hAnsi="宋体" w:eastAsia="仿宋_GB2312"/>
                <w:color w:val="auto"/>
                <w:sz w:val="30"/>
                <w:szCs w:val="30"/>
              </w:rPr>
            </w:pPr>
            <w:r>
              <w:rPr>
                <w:rFonts w:ascii="仿宋_GB2312" w:hAnsi="宋体" w:eastAsia="仿宋_GB2312"/>
                <w:color w:val="auto"/>
                <w:sz w:val="30"/>
                <w:szCs w:val="30"/>
              </w:rPr>
              <w:t>5</w:t>
            </w:r>
          </w:p>
        </w:tc>
        <w:tc>
          <w:tcPr>
            <w:tcW w:w="1849" w:type="dxa"/>
            <w:vAlign w:val="center"/>
          </w:tcPr>
          <w:p>
            <w:pPr>
              <w:widowControl/>
              <w:spacing w:line="360" w:lineRule="auto"/>
              <w:jc w:val="center"/>
              <w:rPr>
                <w:rFonts w:ascii="仿宋_GB2312" w:hAnsi="宋体" w:eastAsia="仿宋_GB2312"/>
                <w:color w:val="auto"/>
                <w:sz w:val="30"/>
                <w:szCs w:val="30"/>
              </w:rPr>
            </w:pPr>
            <w:r>
              <w:rPr>
                <w:rFonts w:ascii="仿宋_GB2312" w:hAnsi="宋体" w:eastAsia="仿宋_GB2312"/>
                <w:color w:val="auto"/>
                <w:sz w:val="30"/>
                <w:szCs w:val="30"/>
              </w:rPr>
              <w:t xml:space="preserve">★网卡控制器 </w:t>
            </w:r>
          </w:p>
        </w:tc>
        <w:tc>
          <w:tcPr>
            <w:tcW w:w="6012" w:type="dxa"/>
            <w:vAlign w:val="center"/>
          </w:tcPr>
          <w:p>
            <w:pPr>
              <w:widowControl/>
              <w:spacing w:line="360" w:lineRule="auto"/>
              <w:jc w:val="left"/>
              <w:rPr>
                <w:rFonts w:ascii="仿宋_GB2312" w:hAnsi="宋体" w:eastAsia="仿宋_GB2312"/>
                <w:color w:val="auto"/>
                <w:sz w:val="30"/>
                <w:szCs w:val="30"/>
              </w:rPr>
            </w:pPr>
            <w:r>
              <w:rPr>
                <w:rFonts w:hint="eastAsia" w:ascii="仿宋_GB2312" w:hAnsi="宋体" w:eastAsia="仿宋_GB2312"/>
                <w:color w:val="auto"/>
                <w:sz w:val="30"/>
                <w:szCs w:val="30"/>
              </w:rPr>
              <w:t>板载</w:t>
            </w:r>
            <w:r>
              <w:rPr>
                <w:rFonts w:ascii="仿宋_GB2312" w:hAnsi="宋体" w:eastAsia="仿宋_GB2312"/>
                <w:color w:val="auto"/>
                <w:sz w:val="30"/>
                <w:szCs w:val="30"/>
              </w:rPr>
              <w:t>2*GE+2*10GE（不含光模块)</w:t>
            </w:r>
            <w:r>
              <w:rPr>
                <w:rFonts w:hint="eastAsia" w:ascii="仿宋_GB2312" w:hAnsi="宋体" w:eastAsia="仿宋_GB2312"/>
                <w:color w:val="auto"/>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707"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6</w:t>
            </w:r>
          </w:p>
        </w:tc>
        <w:tc>
          <w:tcPr>
            <w:tcW w:w="1849"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 xml:space="preserve">显卡控制器 </w:t>
            </w:r>
          </w:p>
        </w:tc>
        <w:tc>
          <w:tcPr>
            <w:tcW w:w="6012" w:type="dxa"/>
            <w:vAlign w:val="center"/>
          </w:tcPr>
          <w:p>
            <w:pPr>
              <w:spacing w:line="440" w:lineRule="exact"/>
              <w:jc w:val="left"/>
              <w:rPr>
                <w:rFonts w:ascii="仿宋_GB2312" w:hAnsi="宋体" w:eastAsia="仿宋_GB2312"/>
                <w:color w:val="auto"/>
                <w:sz w:val="28"/>
                <w:szCs w:val="28"/>
              </w:rPr>
            </w:pPr>
            <w:r>
              <w:rPr>
                <w:rFonts w:ascii="仿宋_GB2312" w:hAnsi="宋体" w:eastAsia="仿宋_GB2312"/>
                <w:color w:val="auto"/>
                <w:sz w:val="28"/>
                <w:szCs w:val="28"/>
              </w:rPr>
              <w:t>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707"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7</w:t>
            </w:r>
          </w:p>
        </w:tc>
        <w:tc>
          <w:tcPr>
            <w:tcW w:w="1849"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光驱 </w:t>
            </w:r>
          </w:p>
        </w:tc>
        <w:tc>
          <w:tcPr>
            <w:tcW w:w="6012" w:type="dxa"/>
            <w:vAlign w:val="center"/>
          </w:tcPr>
          <w:p>
            <w:pPr>
              <w:spacing w:line="440" w:lineRule="exact"/>
              <w:jc w:val="left"/>
              <w:rPr>
                <w:rFonts w:ascii="仿宋_GB2312" w:hAnsi="宋体" w:eastAsia="仿宋_GB2312"/>
                <w:color w:val="auto"/>
                <w:sz w:val="28"/>
                <w:szCs w:val="28"/>
              </w:rPr>
            </w:pPr>
            <w:r>
              <w:rPr>
                <w:rFonts w:ascii="仿宋_GB2312" w:hAnsi="宋体" w:eastAsia="仿宋_GB2312"/>
                <w:color w:val="auto"/>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707"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8</w:t>
            </w:r>
          </w:p>
        </w:tc>
        <w:tc>
          <w:tcPr>
            <w:tcW w:w="1849"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 xml:space="preserve">★电源 </w:t>
            </w:r>
          </w:p>
        </w:tc>
        <w:tc>
          <w:tcPr>
            <w:tcW w:w="6012" w:type="dxa"/>
            <w:vAlign w:val="center"/>
          </w:tcPr>
          <w:p>
            <w:pPr>
              <w:spacing w:line="440" w:lineRule="exact"/>
              <w:jc w:val="left"/>
              <w:rPr>
                <w:rFonts w:ascii="仿宋_GB2312" w:hAnsi="宋体" w:eastAsia="仿宋_GB2312"/>
                <w:color w:val="auto"/>
                <w:sz w:val="28"/>
                <w:szCs w:val="28"/>
              </w:rPr>
            </w:pPr>
            <w:r>
              <w:rPr>
                <w:rFonts w:hint="eastAsia" w:ascii="仿宋_GB2312" w:hAnsi="宋体" w:eastAsia="仿宋_GB2312"/>
                <w:color w:val="auto"/>
                <w:sz w:val="28"/>
                <w:szCs w:val="28"/>
              </w:rPr>
              <w:t>配置</w:t>
            </w:r>
            <w:r>
              <w:rPr>
                <w:rFonts w:ascii="仿宋_GB2312" w:hAnsi="宋体" w:eastAsia="仿宋_GB2312"/>
                <w:color w:val="auto"/>
                <w:sz w:val="28"/>
                <w:szCs w:val="28"/>
              </w:rPr>
              <w:t>2个900W交流电源（1+1冗余）</w:t>
            </w:r>
            <w:r>
              <w:rPr>
                <w:rFonts w:hint="eastAsia" w:ascii="仿宋_GB2312" w:hAnsi="宋体" w:eastAsia="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707"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9</w:t>
            </w:r>
          </w:p>
        </w:tc>
        <w:tc>
          <w:tcPr>
            <w:tcW w:w="1849"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 xml:space="preserve">★管理功能 </w:t>
            </w:r>
          </w:p>
        </w:tc>
        <w:tc>
          <w:tcPr>
            <w:tcW w:w="6012" w:type="dxa"/>
            <w:vAlign w:val="center"/>
          </w:tcPr>
          <w:p>
            <w:pPr>
              <w:spacing w:line="440" w:lineRule="exact"/>
              <w:jc w:val="left"/>
              <w:rPr>
                <w:rFonts w:ascii="仿宋_GB2312" w:hAnsi="宋体" w:eastAsia="仿宋_GB2312"/>
                <w:color w:val="auto"/>
                <w:sz w:val="28"/>
                <w:szCs w:val="28"/>
              </w:rPr>
            </w:pPr>
            <w:r>
              <w:rPr>
                <w:rFonts w:hint="eastAsia" w:ascii="仿宋_GB2312" w:hAnsi="宋体" w:eastAsia="仿宋_GB2312"/>
                <w:color w:val="auto"/>
                <w:sz w:val="28"/>
                <w:szCs w:val="28"/>
              </w:rPr>
              <w:t>配置</w:t>
            </w:r>
            <w:r>
              <w:rPr>
                <w:rFonts w:ascii="仿宋_GB2312" w:hAnsi="宋体" w:eastAsia="仿宋_GB2312"/>
                <w:color w:val="auto"/>
                <w:sz w:val="28"/>
                <w:szCs w:val="28"/>
              </w:rPr>
              <w:t>4个冗余热插拔风扇，4个USB 3.0接口</w:t>
            </w:r>
            <w:r>
              <w:rPr>
                <w:rFonts w:hint="eastAsia" w:ascii="仿宋_GB2312" w:hAnsi="宋体" w:eastAsia="仿宋_GB2312"/>
                <w:color w:val="auto"/>
                <w:sz w:val="28"/>
                <w:szCs w:val="28"/>
              </w:rPr>
              <w:t>，</w:t>
            </w:r>
            <w:r>
              <w:rPr>
                <w:rFonts w:ascii="仿宋_GB2312" w:hAnsi="宋体" w:eastAsia="仿宋_GB2312"/>
                <w:color w:val="auto"/>
                <w:sz w:val="28"/>
                <w:szCs w:val="28"/>
              </w:rPr>
              <w:t>集成BMC管理模块，板载iBMC管理模块，支持IPMI、SOL、KVM Over IP、虚拟媒体等管理特性，对外提供1个10/100Mbps RJ45管理网口</w:t>
            </w:r>
            <w:r>
              <w:rPr>
                <w:rFonts w:hint="eastAsia" w:ascii="仿宋_GB2312" w:hAnsi="宋体" w:eastAsia="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707" w:type="dxa"/>
            <w:vAlign w:val="center"/>
          </w:tcPr>
          <w:p>
            <w:pPr>
              <w:spacing w:line="440" w:lineRule="exact"/>
              <w:jc w:val="center"/>
              <w:rPr>
                <w:rFonts w:ascii="仿宋_GB2312" w:hAnsi="宋体" w:eastAsia="仿宋_GB2312"/>
                <w:color w:val="auto"/>
                <w:sz w:val="28"/>
                <w:szCs w:val="28"/>
              </w:rPr>
            </w:pPr>
            <w:r>
              <w:rPr>
                <w:rFonts w:ascii="仿宋_GB2312" w:hAnsi="宋体" w:eastAsia="仿宋_GB2312"/>
                <w:color w:val="auto"/>
                <w:sz w:val="28"/>
                <w:szCs w:val="28"/>
              </w:rPr>
              <w:t>10</w:t>
            </w:r>
          </w:p>
        </w:tc>
        <w:tc>
          <w:tcPr>
            <w:tcW w:w="1849" w:type="dxa"/>
            <w:vAlign w:val="center"/>
          </w:tcPr>
          <w:p>
            <w:pPr>
              <w:spacing w:line="44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保修</w:t>
            </w:r>
            <w:r>
              <w:rPr>
                <w:rFonts w:ascii="仿宋_GB2312" w:hAnsi="宋体" w:eastAsia="仿宋_GB2312"/>
                <w:color w:val="auto"/>
                <w:sz w:val="28"/>
                <w:szCs w:val="28"/>
              </w:rPr>
              <w:t>服务</w:t>
            </w:r>
          </w:p>
        </w:tc>
        <w:tc>
          <w:tcPr>
            <w:tcW w:w="6012" w:type="dxa"/>
            <w:vAlign w:val="center"/>
          </w:tcPr>
          <w:p>
            <w:pPr>
              <w:spacing w:line="440" w:lineRule="exact"/>
              <w:jc w:val="left"/>
              <w:rPr>
                <w:rFonts w:ascii="仿宋_GB2312" w:hAnsi="宋体" w:eastAsia="仿宋_GB2312"/>
                <w:color w:val="auto"/>
                <w:sz w:val="28"/>
                <w:szCs w:val="28"/>
              </w:rPr>
            </w:pPr>
            <w:r>
              <w:rPr>
                <w:rFonts w:hint="eastAsia" w:ascii="仿宋_GB2312" w:hAnsi="宋体" w:eastAsia="仿宋_GB2312"/>
                <w:color w:val="auto"/>
                <w:sz w:val="28"/>
                <w:szCs w:val="28"/>
              </w:rPr>
              <w:t>原厂三年保修服务</w:t>
            </w:r>
          </w:p>
        </w:tc>
      </w:tr>
    </w:tbl>
    <w:p>
      <w:pPr>
        <w:ind w:left="1" w:firstLine="564" w:firstLineChars="188"/>
        <w:rPr>
          <w:rFonts w:ascii="仿宋_GB2312" w:hAnsi="宋体" w:eastAsia="仿宋_GB2312"/>
          <w:color w:val="auto"/>
          <w:sz w:val="30"/>
          <w:szCs w:val="30"/>
        </w:rPr>
      </w:pPr>
      <w:r>
        <w:rPr>
          <w:rFonts w:hint="eastAsia" w:ascii="仿宋_GB2312" w:hAnsi="宋体" w:eastAsia="仿宋_GB2312"/>
          <w:color w:val="auto"/>
          <w:sz w:val="30"/>
          <w:szCs w:val="30"/>
        </w:rPr>
        <w:t>（注：以上标注★相关内容为重要技术参数和要求，其中服务器参考华为</w:t>
      </w:r>
      <w:r>
        <w:rPr>
          <w:rFonts w:ascii="仿宋_GB2312" w:hAnsi="宋体" w:eastAsia="仿宋_GB2312"/>
          <w:color w:val="auto"/>
          <w:sz w:val="30"/>
          <w:szCs w:val="30"/>
        </w:rPr>
        <w:t>2288H V5</w:t>
      </w:r>
      <w:r>
        <w:rPr>
          <w:rFonts w:hint="eastAsia" w:ascii="仿宋_GB2312" w:hAnsi="宋体" w:eastAsia="仿宋_GB2312"/>
          <w:color w:val="auto"/>
          <w:sz w:val="30"/>
          <w:szCs w:val="30"/>
        </w:rPr>
        <w:t>相关技术指标。）</w:t>
      </w:r>
    </w:p>
    <w:p>
      <w:pPr>
        <w:ind w:left="600"/>
        <w:rPr>
          <w:rFonts w:ascii="仿宋_GB2312" w:hAnsi="宋体" w:eastAsia="仿宋_GB2312"/>
          <w:color w:val="auto"/>
          <w:sz w:val="30"/>
          <w:szCs w:val="30"/>
        </w:rPr>
      </w:pPr>
    </w:p>
    <w:p>
      <w:pPr>
        <w:adjustRightInd/>
        <w:spacing w:before="97" w:beforeLines="30" w:after="97" w:afterLines="30" w:line="360" w:lineRule="auto"/>
        <w:textAlignment w:val="auto"/>
        <w:outlineLvl w:val="0"/>
        <w:rPr>
          <w:rFonts w:ascii="黑体" w:hAnsi="黑体" w:eastAsia="黑体"/>
          <w:b/>
          <w:bCs/>
          <w:color w:val="auto"/>
          <w:sz w:val="32"/>
          <w:szCs w:val="32"/>
        </w:rPr>
      </w:pPr>
      <w:r>
        <w:rPr>
          <w:rFonts w:ascii="黑体" w:hAnsi="黑体" w:eastAsia="黑体"/>
          <w:b/>
          <w:bCs/>
          <w:color w:val="auto"/>
          <w:sz w:val="32"/>
          <w:szCs w:val="32"/>
        </w:rPr>
        <w:t>6.</w:t>
      </w:r>
      <w:r>
        <w:rPr>
          <w:rFonts w:hint="eastAsia" w:ascii="黑体" w:hAnsi="黑体" w:eastAsia="黑体"/>
          <w:b/>
          <w:bCs/>
          <w:color w:val="auto"/>
          <w:sz w:val="32"/>
          <w:szCs w:val="32"/>
        </w:rPr>
        <w:t>进度要求</w:t>
      </w:r>
    </w:p>
    <w:p>
      <w:pPr>
        <w:spacing w:after="163" w:afterLines="50"/>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合同签订的</w:t>
      </w:r>
      <w:r>
        <w:rPr>
          <w:rFonts w:ascii="仿宋_GB2312" w:hAnsi="宋体" w:eastAsia="仿宋_GB2312"/>
          <w:color w:val="auto"/>
          <w:sz w:val="30"/>
          <w:szCs w:val="30"/>
        </w:rPr>
        <w:t>15</w:t>
      </w:r>
      <w:r>
        <w:rPr>
          <w:rFonts w:hint="eastAsia" w:ascii="仿宋_GB2312" w:hAnsi="宋体" w:eastAsia="仿宋_GB2312"/>
          <w:color w:val="auto"/>
          <w:sz w:val="30"/>
          <w:szCs w:val="30"/>
        </w:rPr>
        <w:t xml:space="preserve">天内完成系统部署、本地安装、测试、并完成相应的集成开发等工作。 </w:t>
      </w:r>
    </w:p>
    <w:tbl>
      <w:tblPr>
        <w:tblStyle w:val="14"/>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0"/>
        <w:gridCol w:w="2184"/>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0" w:type="dxa"/>
          </w:tcPr>
          <w:p>
            <w:pPr>
              <w:spacing w:line="480" w:lineRule="exact"/>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项目内容</w:t>
            </w:r>
          </w:p>
        </w:tc>
        <w:tc>
          <w:tcPr>
            <w:tcW w:w="2184" w:type="dxa"/>
          </w:tcPr>
          <w:p>
            <w:pPr>
              <w:spacing w:line="480" w:lineRule="exact"/>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天数</w:t>
            </w:r>
          </w:p>
        </w:tc>
        <w:tc>
          <w:tcPr>
            <w:tcW w:w="1930" w:type="dxa"/>
          </w:tcPr>
          <w:p>
            <w:pPr>
              <w:spacing w:line="480" w:lineRule="exact"/>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4650" w:type="dxa"/>
          </w:tcPr>
          <w:p>
            <w:pPr>
              <w:spacing w:line="48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合同签订</w:t>
            </w:r>
          </w:p>
        </w:tc>
        <w:tc>
          <w:tcPr>
            <w:tcW w:w="2184" w:type="dxa"/>
          </w:tcPr>
          <w:p>
            <w:pPr>
              <w:spacing w:line="48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开始</w:t>
            </w:r>
          </w:p>
        </w:tc>
        <w:tc>
          <w:tcPr>
            <w:tcW w:w="1930" w:type="dxa"/>
          </w:tcPr>
          <w:p>
            <w:pPr>
              <w:spacing w:line="480" w:lineRule="exact"/>
              <w:jc w:val="center"/>
              <w:rPr>
                <w:rFonts w:ascii="仿宋_GB2312" w:hAnsi="宋体"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0" w:type="dxa"/>
          </w:tcPr>
          <w:p>
            <w:pPr>
              <w:spacing w:line="48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网络调研规划设计服务</w:t>
            </w:r>
          </w:p>
        </w:tc>
        <w:tc>
          <w:tcPr>
            <w:tcW w:w="2184" w:type="dxa"/>
          </w:tcPr>
          <w:p>
            <w:pPr>
              <w:spacing w:line="48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2天</w:t>
            </w:r>
          </w:p>
        </w:tc>
        <w:tc>
          <w:tcPr>
            <w:tcW w:w="1930" w:type="dxa"/>
          </w:tcPr>
          <w:p>
            <w:pPr>
              <w:spacing w:line="480" w:lineRule="exact"/>
              <w:jc w:val="center"/>
              <w:rPr>
                <w:rFonts w:ascii="仿宋_GB2312" w:hAnsi="宋体"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0" w:type="dxa"/>
          </w:tcPr>
          <w:p>
            <w:pPr>
              <w:spacing w:line="48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服务器环境及资源准备</w:t>
            </w:r>
          </w:p>
        </w:tc>
        <w:tc>
          <w:tcPr>
            <w:tcW w:w="2184" w:type="dxa"/>
          </w:tcPr>
          <w:p>
            <w:pPr>
              <w:spacing w:line="48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1天</w:t>
            </w:r>
          </w:p>
        </w:tc>
        <w:tc>
          <w:tcPr>
            <w:tcW w:w="1930" w:type="dxa"/>
          </w:tcPr>
          <w:p>
            <w:pPr>
              <w:spacing w:line="480" w:lineRule="exact"/>
              <w:jc w:val="center"/>
              <w:rPr>
                <w:rFonts w:ascii="仿宋_GB2312" w:hAnsi="宋体"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0" w:type="dxa"/>
          </w:tcPr>
          <w:p>
            <w:pPr>
              <w:spacing w:line="48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系统部署安装</w:t>
            </w:r>
          </w:p>
        </w:tc>
        <w:tc>
          <w:tcPr>
            <w:tcW w:w="2184" w:type="dxa"/>
          </w:tcPr>
          <w:p>
            <w:pPr>
              <w:spacing w:line="480" w:lineRule="exact"/>
              <w:jc w:val="center"/>
              <w:rPr>
                <w:rFonts w:ascii="仿宋_GB2312" w:hAnsi="宋体" w:eastAsia="仿宋_GB2312"/>
                <w:color w:val="auto"/>
                <w:sz w:val="28"/>
                <w:szCs w:val="28"/>
              </w:rPr>
            </w:pPr>
            <w:r>
              <w:rPr>
                <w:rFonts w:ascii="仿宋_GB2312" w:hAnsi="宋体" w:eastAsia="仿宋_GB2312"/>
                <w:color w:val="auto"/>
                <w:sz w:val="28"/>
                <w:szCs w:val="28"/>
              </w:rPr>
              <w:t>3</w:t>
            </w:r>
            <w:r>
              <w:rPr>
                <w:rFonts w:hint="eastAsia" w:ascii="仿宋_GB2312" w:hAnsi="宋体" w:eastAsia="仿宋_GB2312"/>
                <w:color w:val="auto"/>
                <w:sz w:val="28"/>
                <w:szCs w:val="28"/>
              </w:rPr>
              <w:t>天</w:t>
            </w:r>
          </w:p>
        </w:tc>
        <w:tc>
          <w:tcPr>
            <w:tcW w:w="1930" w:type="dxa"/>
          </w:tcPr>
          <w:p>
            <w:pPr>
              <w:spacing w:line="480" w:lineRule="exact"/>
              <w:jc w:val="center"/>
              <w:rPr>
                <w:rFonts w:ascii="仿宋_GB2312" w:hAnsi="宋体"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0" w:type="dxa"/>
          </w:tcPr>
          <w:p>
            <w:pPr>
              <w:spacing w:line="48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客户环境调测适配（含测试）</w:t>
            </w:r>
          </w:p>
        </w:tc>
        <w:tc>
          <w:tcPr>
            <w:tcW w:w="2184" w:type="dxa"/>
          </w:tcPr>
          <w:p>
            <w:pPr>
              <w:spacing w:line="480" w:lineRule="exact"/>
              <w:jc w:val="center"/>
              <w:rPr>
                <w:rFonts w:ascii="仿宋_GB2312" w:hAnsi="宋体" w:eastAsia="仿宋_GB2312"/>
                <w:color w:val="auto"/>
                <w:sz w:val="28"/>
                <w:szCs w:val="28"/>
              </w:rPr>
            </w:pPr>
            <w:r>
              <w:rPr>
                <w:rFonts w:ascii="仿宋_GB2312" w:hAnsi="宋体" w:eastAsia="仿宋_GB2312"/>
                <w:color w:val="auto"/>
                <w:sz w:val="28"/>
                <w:szCs w:val="28"/>
              </w:rPr>
              <w:t>6</w:t>
            </w:r>
            <w:r>
              <w:rPr>
                <w:rFonts w:hint="eastAsia" w:ascii="仿宋_GB2312" w:hAnsi="宋体" w:eastAsia="仿宋_GB2312"/>
                <w:color w:val="auto"/>
                <w:sz w:val="28"/>
                <w:szCs w:val="28"/>
              </w:rPr>
              <w:t>天</w:t>
            </w:r>
          </w:p>
        </w:tc>
        <w:tc>
          <w:tcPr>
            <w:tcW w:w="1930" w:type="dxa"/>
          </w:tcPr>
          <w:p>
            <w:pPr>
              <w:spacing w:line="480" w:lineRule="exact"/>
              <w:jc w:val="center"/>
              <w:rPr>
                <w:rFonts w:ascii="仿宋_GB2312" w:hAnsi="宋体"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0" w:type="dxa"/>
          </w:tcPr>
          <w:p>
            <w:pPr>
              <w:spacing w:line="48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项目验收（含培训）</w:t>
            </w:r>
          </w:p>
        </w:tc>
        <w:tc>
          <w:tcPr>
            <w:tcW w:w="2184" w:type="dxa"/>
          </w:tcPr>
          <w:p>
            <w:pPr>
              <w:spacing w:line="480" w:lineRule="exact"/>
              <w:jc w:val="center"/>
              <w:rPr>
                <w:rFonts w:ascii="仿宋_GB2312" w:hAnsi="宋体" w:eastAsia="仿宋_GB2312"/>
                <w:color w:val="auto"/>
                <w:sz w:val="28"/>
                <w:szCs w:val="28"/>
              </w:rPr>
            </w:pPr>
            <w:r>
              <w:rPr>
                <w:rFonts w:ascii="仿宋_GB2312" w:hAnsi="宋体" w:eastAsia="仿宋_GB2312"/>
                <w:color w:val="auto"/>
                <w:sz w:val="28"/>
                <w:szCs w:val="28"/>
              </w:rPr>
              <w:t>3</w:t>
            </w:r>
            <w:r>
              <w:rPr>
                <w:rFonts w:hint="eastAsia" w:ascii="仿宋_GB2312" w:hAnsi="宋体" w:eastAsia="仿宋_GB2312"/>
                <w:color w:val="auto"/>
                <w:sz w:val="28"/>
                <w:szCs w:val="28"/>
              </w:rPr>
              <w:t>天</w:t>
            </w:r>
          </w:p>
        </w:tc>
        <w:tc>
          <w:tcPr>
            <w:tcW w:w="1930" w:type="dxa"/>
          </w:tcPr>
          <w:p>
            <w:pPr>
              <w:spacing w:line="480" w:lineRule="exact"/>
              <w:jc w:val="center"/>
              <w:rPr>
                <w:rFonts w:ascii="仿宋_GB2312" w:hAnsi="宋体"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0" w:type="dxa"/>
          </w:tcPr>
          <w:p>
            <w:pPr>
              <w:spacing w:line="48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项目试运行</w:t>
            </w:r>
          </w:p>
        </w:tc>
        <w:tc>
          <w:tcPr>
            <w:tcW w:w="2184" w:type="dxa"/>
          </w:tcPr>
          <w:p>
            <w:pPr>
              <w:spacing w:line="48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30天</w:t>
            </w:r>
          </w:p>
        </w:tc>
        <w:tc>
          <w:tcPr>
            <w:tcW w:w="1930" w:type="dxa"/>
          </w:tcPr>
          <w:p>
            <w:pPr>
              <w:spacing w:line="480" w:lineRule="exact"/>
              <w:jc w:val="center"/>
              <w:rPr>
                <w:rFonts w:ascii="仿宋_GB2312" w:hAnsi="宋体" w:eastAsia="仿宋_GB2312"/>
                <w:color w:val="auto"/>
                <w:sz w:val="28"/>
                <w:szCs w:val="28"/>
              </w:rPr>
            </w:pPr>
          </w:p>
        </w:tc>
      </w:tr>
    </w:tbl>
    <w:p>
      <w:pPr>
        <w:spacing w:line="480" w:lineRule="exact"/>
        <w:jc w:val="center"/>
        <w:rPr>
          <w:rFonts w:ascii="宋体" w:hAnsi="宋体" w:eastAsia="宋体"/>
          <w:color w:val="auto"/>
          <w:sz w:val="28"/>
          <w:szCs w:val="28"/>
        </w:rPr>
      </w:pPr>
    </w:p>
    <w:p>
      <w:pPr>
        <w:adjustRightInd/>
        <w:spacing w:before="97" w:beforeLines="30" w:after="97" w:afterLines="30" w:line="360" w:lineRule="auto"/>
        <w:textAlignment w:val="auto"/>
        <w:outlineLvl w:val="0"/>
        <w:rPr>
          <w:rFonts w:ascii="黑体" w:hAnsi="黑体" w:eastAsia="黑体"/>
          <w:b/>
          <w:bCs/>
          <w:color w:val="auto"/>
          <w:sz w:val="32"/>
          <w:szCs w:val="32"/>
        </w:rPr>
      </w:pPr>
      <w:r>
        <w:rPr>
          <w:rFonts w:ascii="黑体" w:hAnsi="黑体" w:eastAsia="黑体"/>
          <w:b/>
          <w:bCs/>
          <w:color w:val="auto"/>
          <w:sz w:val="32"/>
          <w:szCs w:val="32"/>
        </w:rPr>
        <w:t>7.</w:t>
      </w:r>
      <w:r>
        <w:rPr>
          <w:rFonts w:hint="eastAsia" w:ascii="黑体" w:hAnsi="黑体" w:eastAsia="黑体"/>
          <w:b/>
          <w:bCs/>
          <w:color w:val="auto"/>
          <w:sz w:val="32"/>
          <w:szCs w:val="32"/>
        </w:rPr>
        <w:t>质量保证要求</w:t>
      </w:r>
    </w:p>
    <w:p>
      <w:pPr>
        <w:pStyle w:val="23"/>
        <w:numPr>
          <w:ilvl w:val="0"/>
          <w:numId w:val="4"/>
        </w:numPr>
        <w:rPr>
          <w:rFonts w:ascii="仿宋_GB2312" w:hAnsi="宋体" w:eastAsia="仿宋_GB2312"/>
          <w:color w:val="auto"/>
          <w:sz w:val="30"/>
          <w:szCs w:val="30"/>
        </w:rPr>
      </w:pPr>
      <w:r>
        <w:rPr>
          <w:rFonts w:ascii="仿宋_GB2312" w:hAnsi="宋体" w:eastAsia="仿宋_GB2312"/>
          <w:color w:val="auto"/>
          <w:sz w:val="30"/>
          <w:szCs w:val="30"/>
        </w:rPr>
        <w:t>系统终验合格后进入系统质量保证期，自双方代表在系统终验合格单上签字之日起计算，有效期为1年。</w:t>
      </w:r>
    </w:p>
    <w:p>
      <w:pPr>
        <w:pStyle w:val="23"/>
        <w:numPr>
          <w:ilvl w:val="0"/>
          <w:numId w:val="4"/>
        </w:numPr>
        <w:rPr>
          <w:rFonts w:ascii="仿宋_GB2312" w:hAnsi="宋体" w:eastAsia="仿宋_GB2312"/>
          <w:color w:val="auto"/>
          <w:sz w:val="30"/>
          <w:szCs w:val="30"/>
        </w:rPr>
      </w:pPr>
      <w:r>
        <w:rPr>
          <w:rFonts w:hint="eastAsia" w:ascii="仿宋_GB2312" w:hAnsi="宋体" w:eastAsia="仿宋_GB2312"/>
          <w:color w:val="auto"/>
          <w:sz w:val="30"/>
          <w:szCs w:val="30"/>
        </w:rPr>
        <w:t>实施方</w:t>
      </w:r>
      <w:r>
        <w:rPr>
          <w:rFonts w:ascii="仿宋_GB2312" w:hAnsi="宋体" w:eastAsia="仿宋_GB2312"/>
          <w:color w:val="auto"/>
          <w:sz w:val="30"/>
          <w:szCs w:val="30"/>
        </w:rPr>
        <w:t>提供1年免费维护服务和技术支持服务，为本项目提供完善周到的技术支持和售后服务，指派技术人员、协调厂商提供技术服务。</w:t>
      </w:r>
    </w:p>
    <w:p>
      <w:pPr>
        <w:pStyle w:val="23"/>
        <w:numPr>
          <w:ilvl w:val="0"/>
          <w:numId w:val="4"/>
        </w:numPr>
        <w:rPr>
          <w:rFonts w:ascii="仿宋_GB2312" w:hAnsi="宋体" w:eastAsia="仿宋_GB2312"/>
          <w:color w:val="auto"/>
          <w:sz w:val="30"/>
          <w:szCs w:val="30"/>
        </w:rPr>
      </w:pPr>
      <w:r>
        <w:rPr>
          <w:rFonts w:ascii="仿宋_GB2312" w:hAnsi="宋体" w:eastAsia="仿宋_GB2312"/>
          <w:color w:val="auto"/>
          <w:sz w:val="30"/>
          <w:szCs w:val="30"/>
        </w:rPr>
        <w:t>质量保证期内，提供优质的服务和技术保障</w:t>
      </w:r>
      <w:r>
        <w:rPr>
          <w:rFonts w:hint="eastAsia" w:ascii="仿宋_GB2312" w:hAnsi="宋体" w:eastAsia="仿宋_GB2312"/>
          <w:color w:val="auto"/>
          <w:sz w:val="30"/>
          <w:szCs w:val="30"/>
        </w:rPr>
        <w:t>。</w:t>
      </w:r>
      <w:r>
        <w:rPr>
          <w:rFonts w:ascii="仿宋_GB2312" w:hAnsi="宋体" w:eastAsia="仿宋_GB2312"/>
          <w:color w:val="auto"/>
          <w:sz w:val="30"/>
          <w:szCs w:val="30"/>
        </w:rPr>
        <w:t>系统试运行期间，安排专人指导需求方使用人员的操作，排除系统试运行过程中出现的故障；系统出现故障（致使系统无法正常运行）时，技术人员将即时进行响应，提出解决方案和措施，并做好问题记录，确保问题解决。</w:t>
      </w:r>
    </w:p>
    <w:p>
      <w:pPr>
        <w:pStyle w:val="23"/>
        <w:numPr>
          <w:ilvl w:val="0"/>
          <w:numId w:val="4"/>
        </w:numPr>
        <w:rPr>
          <w:rFonts w:ascii="仿宋_GB2312" w:hAnsi="宋体" w:eastAsia="仿宋_GB2312"/>
          <w:color w:val="auto"/>
          <w:sz w:val="30"/>
          <w:szCs w:val="30"/>
        </w:rPr>
      </w:pPr>
      <w:r>
        <w:rPr>
          <w:rFonts w:ascii="仿宋_GB2312" w:hAnsi="宋体" w:eastAsia="仿宋_GB2312"/>
          <w:color w:val="auto"/>
          <w:sz w:val="30"/>
          <w:szCs w:val="30"/>
        </w:rPr>
        <w:t>质量保证期内，协助</w:t>
      </w:r>
      <w:r>
        <w:rPr>
          <w:rFonts w:hint="eastAsia" w:ascii="仿宋_GB2312" w:hAnsi="宋体" w:eastAsia="仿宋_GB2312"/>
          <w:color w:val="auto"/>
          <w:sz w:val="30"/>
          <w:szCs w:val="30"/>
        </w:rPr>
        <w:t>采购方</w:t>
      </w:r>
      <w:r>
        <w:rPr>
          <w:rFonts w:ascii="仿宋_GB2312" w:hAnsi="宋体" w:eastAsia="仿宋_GB2312"/>
          <w:color w:val="auto"/>
          <w:sz w:val="30"/>
          <w:szCs w:val="30"/>
        </w:rPr>
        <w:t>做好项目管理工作。尤其是在其他系统变更、调整等过程中提供相关服务，使各系统能正常运行。</w:t>
      </w:r>
    </w:p>
    <w:p>
      <w:pPr>
        <w:pStyle w:val="23"/>
        <w:numPr>
          <w:ilvl w:val="0"/>
          <w:numId w:val="4"/>
        </w:numPr>
        <w:rPr>
          <w:rFonts w:ascii="仿宋_GB2312" w:hAnsi="宋体" w:eastAsia="仿宋_GB2312"/>
          <w:color w:val="auto"/>
          <w:sz w:val="30"/>
          <w:szCs w:val="30"/>
        </w:rPr>
      </w:pPr>
      <w:r>
        <w:rPr>
          <w:rFonts w:ascii="仿宋_GB2312" w:hAnsi="宋体" w:eastAsia="仿宋_GB2312"/>
          <w:color w:val="auto"/>
          <w:sz w:val="30"/>
          <w:szCs w:val="30"/>
        </w:rPr>
        <w:t>服务内容包括：技术咨询、软件优化升级、状态报告和故障检测、优化系统、扩容与改造建议、用户满意度调查等。</w:t>
      </w:r>
    </w:p>
    <w:p>
      <w:pPr>
        <w:pStyle w:val="23"/>
        <w:numPr>
          <w:ilvl w:val="0"/>
          <w:numId w:val="4"/>
        </w:numPr>
        <w:rPr>
          <w:rFonts w:ascii="仿宋_GB2312" w:hAnsi="宋体" w:eastAsia="仿宋_GB2312"/>
          <w:color w:val="auto"/>
          <w:sz w:val="30"/>
          <w:szCs w:val="30"/>
        </w:rPr>
      </w:pPr>
      <w:r>
        <w:rPr>
          <w:rFonts w:ascii="仿宋_GB2312" w:hAnsi="宋体" w:eastAsia="仿宋_GB2312"/>
          <w:color w:val="auto"/>
          <w:sz w:val="30"/>
          <w:szCs w:val="30"/>
        </w:rPr>
        <w:t>技术咨询：提供平台产品相关的免费技术咨询服务，服务方式包括热线电话、电子邮件（7×24）、传真等方式。</w:t>
      </w:r>
    </w:p>
    <w:p>
      <w:pPr>
        <w:pStyle w:val="23"/>
        <w:numPr>
          <w:ilvl w:val="0"/>
          <w:numId w:val="4"/>
        </w:numPr>
        <w:rPr>
          <w:rFonts w:ascii="仿宋_GB2312" w:hAnsi="宋体" w:eastAsia="仿宋_GB2312"/>
          <w:color w:val="auto"/>
          <w:sz w:val="30"/>
          <w:szCs w:val="30"/>
        </w:rPr>
      </w:pPr>
      <w:r>
        <w:rPr>
          <w:rFonts w:ascii="仿宋_GB2312" w:hAnsi="宋体" w:eastAsia="仿宋_GB2312"/>
          <w:color w:val="auto"/>
          <w:sz w:val="30"/>
          <w:szCs w:val="30"/>
        </w:rPr>
        <w:t>软件优化升级：优化升级服务包括基础产品运维、软件系统运维、系统软件升级、业务功能完善。</w:t>
      </w:r>
    </w:p>
    <w:p>
      <w:pPr>
        <w:pStyle w:val="23"/>
        <w:numPr>
          <w:ilvl w:val="0"/>
          <w:numId w:val="4"/>
        </w:numPr>
        <w:rPr>
          <w:rFonts w:ascii="仿宋_GB2312" w:hAnsi="宋体" w:eastAsia="仿宋_GB2312"/>
          <w:color w:val="auto"/>
          <w:sz w:val="30"/>
          <w:szCs w:val="30"/>
        </w:rPr>
      </w:pPr>
      <w:r>
        <w:rPr>
          <w:rFonts w:ascii="仿宋_GB2312" w:hAnsi="宋体" w:eastAsia="仿宋_GB2312"/>
          <w:color w:val="auto"/>
          <w:sz w:val="30"/>
          <w:szCs w:val="30"/>
        </w:rPr>
        <w:t>软件系统运维：保障本项目建设的应用软件系统安装、调试、运行正常。</w:t>
      </w:r>
    </w:p>
    <w:p>
      <w:pPr>
        <w:adjustRightInd/>
        <w:spacing w:before="97" w:beforeLines="30" w:after="97" w:afterLines="30" w:line="360" w:lineRule="auto"/>
        <w:textAlignment w:val="auto"/>
        <w:outlineLvl w:val="0"/>
        <w:rPr>
          <w:rFonts w:ascii="黑体" w:hAnsi="黑体" w:eastAsia="黑体"/>
          <w:b/>
          <w:bCs/>
          <w:color w:val="auto"/>
          <w:sz w:val="32"/>
          <w:szCs w:val="32"/>
        </w:rPr>
      </w:pPr>
      <w:r>
        <w:rPr>
          <w:rFonts w:ascii="黑体" w:hAnsi="黑体" w:eastAsia="黑体"/>
          <w:b/>
          <w:bCs/>
          <w:color w:val="auto"/>
          <w:sz w:val="32"/>
          <w:szCs w:val="32"/>
        </w:rPr>
        <w:t>8.</w:t>
      </w:r>
      <w:r>
        <w:rPr>
          <w:rFonts w:hint="eastAsia" w:ascii="黑体" w:hAnsi="黑体" w:eastAsia="黑体"/>
          <w:b/>
          <w:bCs/>
          <w:color w:val="auto"/>
          <w:sz w:val="32"/>
          <w:szCs w:val="32"/>
        </w:rPr>
        <w:t>培训要求</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实施方提供不少于</w:t>
      </w:r>
      <w:r>
        <w:rPr>
          <w:rFonts w:ascii="仿宋_GB2312" w:hAnsi="宋体" w:eastAsia="仿宋_GB2312"/>
          <w:color w:val="auto"/>
          <w:sz w:val="30"/>
          <w:szCs w:val="30"/>
        </w:rPr>
        <w:t>3</w:t>
      </w:r>
      <w:r>
        <w:rPr>
          <w:rFonts w:hint="eastAsia" w:ascii="仿宋_GB2312" w:hAnsi="宋体" w:eastAsia="仿宋_GB2312"/>
          <w:color w:val="auto"/>
          <w:sz w:val="30"/>
          <w:szCs w:val="30"/>
        </w:rPr>
        <w:t>天不少于</w:t>
      </w:r>
      <w:r>
        <w:rPr>
          <w:rFonts w:ascii="仿宋_GB2312" w:hAnsi="宋体" w:eastAsia="仿宋_GB2312"/>
          <w:color w:val="auto"/>
          <w:sz w:val="30"/>
          <w:szCs w:val="30"/>
        </w:rPr>
        <w:t>5</w:t>
      </w:r>
      <w:r>
        <w:rPr>
          <w:rFonts w:hint="eastAsia" w:ascii="仿宋_GB2312" w:hAnsi="宋体" w:eastAsia="仿宋_GB2312"/>
          <w:color w:val="auto"/>
          <w:sz w:val="30"/>
          <w:szCs w:val="30"/>
        </w:rPr>
        <w:t>人次的厂商认证的工程师安装配置等实操培训课程。</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培训工具包括：</w:t>
      </w:r>
    </w:p>
    <w:p>
      <w:pPr>
        <w:pStyle w:val="23"/>
        <w:numPr>
          <w:ilvl w:val="0"/>
          <w:numId w:val="5"/>
        </w:numPr>
        <w:rPr>
          <w:rFonts w:ascii="仿宋_GB2312" w:hAnsi="宋体" w:eastAsia="仿宋_GB2312"/>
          <w:color w:val="auto"/>
          <w:sz w:val="30"/>
          <w:szCs w:val="30"/>
        </w:rPr>
      </w:pPr>
      <w:r>
        <w:rPr>
          <w:rFonts w:hint="eastAsia" w:ascii="仿宋_GB2312" w:hAnsi="宋体" w:eastAsia="仿宋_GB2312"/>
          <w:color w:val="auto"/>
          <w:sz w:val="30"/>
          <w:szCs w:val="30"/>
        </w:rPr>
        <w:t>文档资料：包括产品说明书、用户使用手册、产品管理手册及其他培训资料。</w:t>
      </w:r>
    </w:p>
    <w:p>
      <w:pPr>
        <w:pStyle w:val="23"/>
        <w:numPr>
          <w:ilvl w:val="0"/>
          <w:numId w:val="5"/>
        </w:numPr>
        <w:rPr>
          <w:rFonts w:ascii="仿宋_GB2312" w:hAnsi="宋体" w:eastAsia="仿宋_GB2312"/>
          <w:color w:val="auto"/>
          <w:sz w:val="30"/>
          <w:szCs w:val="30"/>
        </w:rPr>
      </w:pPr>
      <w:r>
        <w:rPr>
          <w:rFonts w:hint="eastAsia" w:ascii="仿宋_GB2312" w:hAnsi="宋体" w:eastAsia="仿宋_GB2312"/>
          <w:color w:val="auto"/>
          <w:sz w:val="30"/>
          <w:szCs w:val="30"/>
        </w:rPr>
        <w:t>培训器材：笔记本电脑，投影仪及扩音话筒等，如有条件可以采用多媒体会议室，效果更佳。</w:t>
      </w:r>
    </w:p>
    <w:p>
      <w:pPr>
        <w:pStyle w:val="23"/>
        <w:numPr>
          <w:ilvl w:val="0"/>
          <w:numId w:val="5"/>
        </w:numPr>
        <w:rPr>
          <w:rFonts w:ascii="仿宋_GB2312" w:hAnsi="宋体" w:eastAsia="仿宋_GB2312"/>
          <w:color w:val="auto"/>
          <w:sz w:val="30"/>
          <w:szCs w:val="30"/>
        </w:rPr>
      </w:pPr>
      <w:r>
        <w:rPr>
          <w:rFonts w:hint="eastAsia" w:ascii="仿宋_GB2312" w:hAnsi="宋体" w:eastAsia="仿宋_GB2312"/>
          <w:color w:val="auto"/>
          <w:sz w:val="30"/>
          <w:szCs w:val="30"/>
        </w:rPr>
        <w:t>实际操作测试环境</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培训方式为：</w:t>
      </w:r>
    </w:p>
    <w:p>
      <w:pPr>
        <w:pStyle w:val="23"/>
        <w:numPr>
          <w:ilvl w:val="0"/>
          <w:numId w:val="6"/>
        </w:numPr>
        <w:ind w:left="1134" w:hanging="567"/>
        <w:rPr>
          <w:rFonts w:ascii="仿宋_GB2312" w:hAnsi="宋体" w:eastAsia="仿宋_GB2312"/>
          <w:color w:val="auto"/>
          <w:sz w:val="30"/>
          <w:szCs w:val="30"/>
        </w:rPr>
      </w:pPr>
      <w:r>
        <w:rPr>
          <w:rFonts w:hint="eastAsia" w:ascii="仿宋_GB2312" w:hAnsi="宋体" w:eastAsia="仿宋_GB2312"/>
          <w:color w:val="auto"/>
          <w:sz w:val="30"/>
          <w:szCs w:val="30"/>
        </w:rPr>
        <w:t>人工授课：使用多媒体资料（PPT或其他）对相关用户进行全方面的使用讲解。</w:t>
      </w:r>
    </w:p>
    <w:p>
      <w:pPr>
        <w:pStyle w:val="23"/>
        <w:numPr>
          <w:ilvl w:val="0"/>
          <w:numId w:val="6"/>
        </w:numPr>
        <w:ind w:left="1134" w:hanging="567"/>
        <w:rPr>
          <w:rFonts w:ascii="仿宋_GB2312" w:hAnsi="宋体" w:eastAsia="仿宋_GB2312"/>
          <w:color w:val="auto"/>
          <w:sz w:val="30"/>
          <w:szCs w:val="30"/>
        </w:rPr>
      </w:pPr>
      <w:r>
        <w:rPr>
          <w:rFonts w:hint="eastAsia" w:ascii="仿宋_GB2312" w:hAnsi="宋体" w:eastAsia="仿宋_GB2312"/>
          <w:color w:val="auto"/>
          <w:sz w:val="30"/>
          <w:szCs w:val="30"/>
        </w:rPr>
        <w:t>实际环境模拟（UAT环境）：培训师借助于UAT环境对被培训者进行实际操作的跟踪指导，以确保正式使用时被培训者能正确操作和熟练使用。</w:t>
      </w:r>
    </w:p>
    <w:p>
      <w:pPr>
        <w:pStyle w:val="23"/>
        <w:numPr>
          <w:ilvl w:val="0"/>
          <w:numId w:val="6"/>
        </w:numPr>
        <w:ind w:left="1134" w:hanging="567"/>
        <w:rPr>
          <w:rFonts w:ascii="仿宋_GB2312" w:hAnsi="宋体" w:eastAsia="仿宋_GB2312"/>
          <w:color w:val="auto"/>
          <w:sz w:val="30"/>
          <w:szCs w:val="30"/>
        </w:rPr>
      </w:pPr>
      <w:r>
        <w:rPr>
          <w:rFonts w:hint="eastAsia" w:ascii="仿宋_GB2312" w:hAnsi="宋体" w:eastAsia="仿宋_GB2312"/>
          <w:color w:val="auto"/>
          <w:sz w:val="30"/>
          <w:szCs w:val="30"/>
        </w:rPr>
        <w:t>培训效果考核：通过制定培训内容相关的试卷或培训师对被培训者实际操作的水准进行考核，以对培训效果进行检查，并将结果反馈给相关负责人。</w:t>
      </w:r>
    </w:p>
    <w:p>
      <w:pPr>
        <w:adjustRightInd/>
        <w:spacing w:before="97" w:beforeLines="30" w:after="97" w:afterLines="30" w:line="360" w:lineRule="auto"/>
        <w:textAlignment w:val="auto"/>
        <w:outlineLvl w:val="0"/>
        <w:rPr>
          <w:rFonts w:ascii="黑体" w:hAnsi="黑体" w:eastAsia="黑体"/>
          <w:b/>
          <w:bCs/>
          <w:color w:val="auto"/>
          <w:sz w:val="32"/>
          <w:szCs w:val="32"/>
        </w:rPr>
      </w:pPr>
      <w:r>
        <w:rPr>
          <w:rFonts w:ascii="黑体" w:hAnsi="黑体" w:eastAsia="黑体"/>
          <w:b/>
          <w:bCs/>
          <w:color w:val="auto"/>
          <w:sz w:val="32"/>
          <w:szCs w:val="32"/>
        </w:rPr>
        <w:t>9.</w:t>
      </w:r>
      <w:r>
        <w:rPr>
          <w:rFonts w:hint="eastAsia" w:ascii="黑体" w:hAnsi="黑体" w:eastAsia="黑体"/>
          <w:b/>
          <w:bCs/>
          <w:color w:val="auto"/>
          <w:sz w:val="32"/>
          <w:szCs w:val="32"/>
        </w:rPr>
        <w:t>文件要求</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在项目准备阶段，部署实施阶段，测试阶段，上线准备和最终上线阶段。</w:t>
      </w:r>
      <w:r>
        <w:rPr>
          <w:rFonts w:ascii="仿宋_GB2312" w:hAnsi="宋体" w:eastAsia="仿宋_GB2312"/>
          <w:color w:val="auto"/>
          <w:sz w:val="30"/>
          <w:szCs w:val="30"/>
        </w:rPr>
        <w:t>提供全套详细文档资料</w:t>
      </w:r>
      <w:r>
        <w:rPr>
          <w:rFonts w:hint="eastAsia" w:ascii="仿宋_GB2312" w:hAnsi="宋体" w:eastAsia="仿宋_GB2312"/>
          <w:color w:val="auto"/>
          <w:sz w:val="30"/>
          <w:szCs w:val="30"/>
        </w:rPr>
        <w:t>，</w:t>
      </w:r>
      <w:r>
        <w:rPr>
          <w:rFonts w:ascii="仿宋_GB2312" w:hAnsi="宋体" w:eastAsia="仿宋_GB2312"/>
          <w:color w:val="auto"/>
          <w:sz w:val="30"/>
          <w:szCs w:val="30"/>
        </w:rPr>
        <w:t>包括但不限于：需求分析说明书、系统设计文档、系统架构文档、系统部署文档、系统功能测试文档、操作手册、技术维护手册、操作人员培训手册、常见问题处理手册等各类文档</w:t>
      </w:r>
      <w:r>
        <w:rPr>
          <w:rFonts w:hint="eastAsia" w:ascii="仿宋_GB2312" w:hAnsi="宋体" w:eastAsia="仿宋_GB2312"/>
          <w:color w:val="auto"/>
          <w:sz w:val="30"/>
          <w:szCs w:val="30"/>
        </w:rPr>
        <w:t>。</w:t>
      </w:r>
    </w:p>
    <w:p>
      <w:pPr>
        <w:adjustRightInd/>
        <w:spacing w:before="97" w:beforeLines="30" w:after="97" w:afterLines="30" w:line="360" w:lineRule="auto"/>
        <w:textAlignment w:val="auto"/>
        <w:outlineLvl w:val="0"/>
        <w:rPr>
          <w:rFonts w:ascii="黑体" w:hAnsi="黑体" w:eastAsia="黑体"/>
          <w:b/>
          <w:bCs/>
          <w:color w:val="auto"/>
          <w:sz w:val="32"/>
          <w:szCs w:val="32"/>
        </w:rPr>
      </w:pPr>
      <w:r>
        <w:rPr>
          <w:rFonts w:ascii="黑体" w:hAnsi="黑体" w:eastAsia="黑体"/>
          <w:b/>
          <w:bCs/>
          <w:color w:val="auto"/>
          <w:sz w:val="32"/>
          <w:szCs w:val="32"/>
        </w:rPr>
        <w:t>10.</w:t>
      </w:r>
      <w:r>
        <w:rPr>
          <w:rFonts w:hint="eastAsia" w:ascii="黑体" w:hAnsi="黑体" w:eastAsia="黑体"/>
          <w:b/>
          <w:bCs/>
          <w:color w:val="auto"/>
          <w:sz w:val="32"/>
          <w:szCs w:val="32"/>
        </w:rPr>
        <w:t>验收要求</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实施方完成系统部署后开始上线进入试运行阶段，试运阶段持续时间为</w:t>
      </w:r>
      <w:r>
        <w:rPr>
          <w:rFonts w:ascii="仿宋_GB2312" w:hAnsi="宋体" w:eastAsia="仿宋_GB2312"/>
          <w:color w:val="auto"/>
          <w:sz w:val="30"/>
          <w:szCs w:val="30"/>
        </w:rPr>
        <w:t>1个月，试运期间，系统应稳定运行并对系统存在问题进行消缺。试运期间的要求：</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（1）功能和技术指标满足各技术规格书要求。</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（2）在试运行期间由于实施方案的原因，本系统所涉及到的所有软件有一条或多条达不到规定的技术性能时，实施方应在试运行期内</w:t>
      </w:r>
      <w:r>
        <w:rPr>
          <w:rFonts w:ascii="仿宋_GB2312" w:hAnsi="宋体" w:eastAsia="仿宋_GB2312"/>
          <w:color w:val="auto"/>
          <w:sz w:val="30"/>
          <w:szCs w:val="30"/>
        </w:rPr>
        <w:t>采取有效措施，使其完全达到规定的技术要求，并且试运行期将重新开始计算直到试运行期满，在此期间的一切费用由</w:t>
      </w:r>
      <w:r>
        <w:rPr>
          <w:rFonts w:hint="eastAsia" w:ascii="仿宋_GB2312" w:hAnsi="宋体" w:eastAsia="仿宋_GB2312"/>
          <w:color w:val="auto"/>
          <w:sz w:val="30"/>
          <w:szCs w:val="30"/>
        </w:rPr>
        <w:t>实施方</w:t>
      </w:r>
      <w:r>
        <w:rPr>
          <w:rFonts w:ascii="仿宋_GB2312" w:hAnsi="宋体" w:eastAsia="仿宋_GB2312"/>
          <w:color w:val="auto"/>
          <w:sz w:val="30"/>
          <w:szCs w:val="30"/>
        </w:rPr>
        <w:t>承担。</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试运结束后，系统正式上线运行并组织项目验收。</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项目验收：合同要求范围内系统功能上线后，符合技术方案要求，由采购方组织项目验收工作。验收的内容为系统所有功能、性能以及稳定性的测试，系统的所有功能和技术性能达到合格。</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最终验收前</w:t>
      </w:r>
      <w:r>
        <w:rPr>
          <w:rFonts w:ascii="仿宋_GB2312" w:hAnsi="宋体" w:eastAsia="仿宋_GB2312"/>
          <w:color w:val="auto"/>
          <w:sz w:val="30"/>
          <w:szCs w:val="30"/>
        </w:rPr>
        <w:t>，</w:t>
      </w:r>
      <w:r>
        <w:rPr>
          <w:rFonts w:hint="eastAsia" w:ascii="仿宋_GB2312" w:hAnsi="宋体" w:eastAsia="仿宋_GB2312"/>
          <w:color w:val="auto"/>
          <w:sz w:val="30"/>
          <w:szCs w:val="30"/>
        </w:rPr>
        <w:t>实施方</w:t>
      </w:r>
      <w:r>
        <w:rPr>
          <w:rFonts w:ascii="仿宋_GB2312" w:hAnsi="宋体" w:eastAsia="仿宋_GB2312"/>
          <w:color w:val="auto"/>
          <w:sz w:val="30"/>
          <w:szCs w:val="30"/>
        </w:rPr>
        <w:t>填写《华能海南昌江核电有限公司信息化项目竣工验收申请表》及《华能海南昌江核电有限公司信息化项目竣工验收表》，经双方确认后作为验收的依据。</w:t>
      </w:r>
    </w:p>
    <w:p>
      <w:pPr>
        <w:adjustRightInd/>
        <w:spacing w:before="97" w:beforeLines="30" w:after="97" w:afterLines="30" w:line="360" w:lineRule="auto"/>
        <w:textAlignment w:val="auto"/>
        <w:outlineLvl w:val="0"/>
        <w:rPr>
          <w:rFonts w:ascii="黑体" w:hAnsi="黑体" w:eastAsia="黑体"/>
          <w:b/>
          <w:bCs/>
          <w:color w:val="auto"/>
          <w:sz w:val="32"/>
          <w:szCs w:val="32"/>
        </w:rPr>
      </w:pPr>
      <w:r>
        <w:rPr>
          <w:rFonts w:ascii="黑体" w:hAnsi="黑体" w:eastAsia="黑体"/>
          <w:b/>
          <w:bCs/>
          <w:color w:val="auto"/>
          <w:sz w:val="32"/>
          <w:szCs w:val="32"/>
        </w:rPr>
        <w:t>11.</w:t>
      </w:r>
      <w:r>
        <w:rPr>
          <w:rFonts w:hint="eastAsia" w:ascii="黑体" w:hAnsi="黑体" w:eastAsia="黑体"/>
          <w:b/>
          <w:bCs/>
          <w:color w:val="auto"/>
          <w:sz w:val="32"/>
          <w:szCs w:val="32"/>
        </w:rPr>
        <w:t>附件</w:t>
      </w:r>
    </w:p>
    <w:p>
      <w:pPr>
        <w:ind w:firstLine="600" w:firstLineChars="200"/>
        <w:rPr>
          <w:rFonts w:ascii="仿宋_GB2312" w:hAnsi="宋体" w:eastAsia="仿宋_GB2312"/>
          <w:color w:val="auto"/>
          <w:sz w:val="30"/>
          <w:szCs w:val="30"/>
        </w:rPr>
      </w:pPr>
      <w:r>
        <w:rPr>
          <w:rFonts w:ascii="仿宋_GB2312" w:hAnsi="宋体" w:eastAsia="仿宋_GB2312"/>
          <w:color w:val="auto"/>
          <w:sz w:val="30"/>
          <w:szCs w:val="30"/>
        </w:rPr>
        <w:t>投标方将与</w:t>
      </w:r>
      <w:r>
        <w:rPr>
          <w:rFonts w:hint="eastAsia" w:ascii="仿宋_GB2312" w:hAnsi="宋体" w:eastAsia="仿宋_GB2312"/>
          <w:color w:val="auto"/>
          <w:sz w:val="30"/>
          <w:szCs w:val="30"/>
        </w:rPr>
        <w:t>规格书</w:t>
      </w:r>
      <w:r>
        <w:rPr>
          <w:rFonts w:ascii="仿宋_GB2312" w:hAnsi="宋体" w:eastAsia="仿宋_GB2312"/>
          <w:color w:val="auto"/>
          <w:sz w:val="30"/>
          <w:szCs w:val="30"/>
        </w:rPr>
        <w:t>的差异汇集成下表：</w:t>
      </w:r>
    </w:p>
    <w:tbl>
      <w:tblPr>
        <w:tblStyle w:val="13"/>
        <w:tblpPr w:leftFromText="180" w:rightFromText="180" w:vertAnchor="text" w:horzAnchor="page" w:tblpX="1806" w:tblpY="113"/>
        <w:tblOverlap w:val="never"/>
        <w:tblW w:w="86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822"/>
        <w:gridCol w:w="2693"/>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725" w:type="dxa"/>
          </w:tcPr>
          <w:p>
            <w:pPr>
              <w:jc w:val="center"/>
              <w:rPr>
                <w:rFonts w:ascii="仿宋_GB2312" w:hAnsi="宋体" w:eastAsia="仿宋_GB2312"/>
                <w:color w:val="auto"/>
                <w:sz w:val="28"/>
                <w:szCs w:val="28"/>
              </w:rPr>
            </w:pPr>
            <w:r>
              <w:rPr>
                <w:rFonts w:ascii="仿宋_GB2312" w:hAnsi="宋体" w:eastAsia="仿宋_GB2312"/>
                <w:color w:val="auto"/>
                <w:sz w:val="28"/>
                <w:szCs w:val="28"/>
              </w:rPr>
              <w:t>序号</w:t>
            </w:r>
          </w:p>
        </w:tc>
        <w:tc>
          <w:tcPr>
            <w:tcW w:w="1822" w:type="dxa"/>
          </w:tcPr>
          <w:p>
            <w:pPr>
              <w:jc w:val="center"/>
              <w:rPr>
                <w:rFonts w:ascii="仿宋_GB2312" w:hAnsi="宋体" w:eastAsia="仿宋_GB2312"/>
                <w:color w:val="auto"/>
                <w:sz w:val="28"/>
                <w:szCs w:val="28"/>
              </w:rPr>
            </w:pPr>
            <w:r>
              <w:rPr>
                <w:rFonts w:hint="eastAsia" w:ascii="仿宋_GB2312" w:hAnsi="宋体" w:eastAsia="仿宋_GB2312"/>
                <w:color w:val="auto"/>
                <w:sz w:val="28"/>
                <w:szCs w:val="28"/>
              </w:rPr>
              <w:t>规格书</w:t>
            </w:r>
            <w:r>
              <w:rPr>
                <w:rFonts w:ascii="仿宋_GB2312" w:hAnsi="宋体" w:eastAsia="仿宋_GB2312"/>
                <w:color w:val="auto"/>
                <w:sz w:val="28"/>
                <w:szCs w:val="28"/>
              </w:rPr>
              <w:t>章节号</w:t>
            </w:r>
          </w:p>
        </w:tc>
        <w:tc>
          <w:tcPr>
            <w:tcW w:w="2693" w:type="dxa"/>
          </w:tcPr>
          <w:p>
            <w:pPr>
              <w:ind w:firstLine="560" w:firstLineChars="200"/>
              <w:jc w:val="center"/>
              <w:rPr>
                <w:rFonts w:ascii="仿宋_GB2312" w:hAnsi="宋体" w:eastAsia="仿宋_GB2312"/>
                <w:color w:val="auto"/>
                <w:sz w:val="28"/>
                <w:szCs w:val="28"/>
              </w:rPr>
            </w:pPr>
            <w:r>
              <w:rPr>
                <w:rFonts w:hint="eastAsia" w:ascii="仿宋_GB2312" w:hAnsi="宋体" w:eastAsia="仿宋_GB2312"/>
                <w:color w:val="auto"/>
                <w:sz w:val="28"/>
                <w:szCs w:val="28"/>
              </w:rPr>
              <w:t>规格书</w:t>
            </w:r>
            <w:r>
              <w:rPr>
                <w:rFonts w:ascii="仿宋_GB2312" w:hAnsi="宋体" w:eastAsia="仿宋_GB2312"/>
                <w:color w:val="auto"/>
                <w:sz w:val="28"/>
                <w:szCs w:val="28"/>
              </w:rPr>
              <w:t>要求</w:t>
            </w:r>
          </w:p>
        </w:tc>
        <w:tc>
          <w:tcPr>
            <w:tcW w:w="3402" w:type="dxa"/>
          </w:tcPr>
          <w:p>
            <w:pPr>
              <w:jc w:val="center"/>
              <w:rPr>
                <w:rFonts w:ascii="仿宋_GB2312" w:hAnsi="宋体" w:eastAsia="仿宋_GB2312"/>
                <w:color w:val="auto"/>
                <w:sz w:val="28"/>
                <w:szCs w:val="28"/>
              </w:rPr>
            </w:pPr>
            <w:r>
              <w:rPr>
                <w:rFonts w:ascii="仿宋_GB2312" w:hAnsi="宋体" w:eastAsia="仿宋_GB2312"/>
                <w:color w:val="auto"/>
                <w:sz w:val="28"/>
                <w:szCs w:val="28"/>
              </w:rPr>
              <w:t>实际供货差异描述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725" w:type="dxa"/>
          </w:tcPr>
          <w:p>
            <w:pPr>
              <w:ind w:firstLine="600" w:firstLineChars="200"/>
              <w:rPr>
                <w:rFonts w:ascii="仿宋_GB2312" w:hAnsi="宋体" w:eastAsia="仿宋_GB2312"/>
                <w:color w:val="auto"/>
                <w:sz w:val="30"/>
                <w:szCs w:val="30"/>
              </w:rPr>
            </w:pPr>
          </w:p>
        </w:tc>
        <w:tc>
          <w:tcPr>
            <w:tcW w:w="1822" w:type="dxa"/>
          </w:tcPr>
          <w:p>
            <w:pPr>
              <w:ind w:firstLine="600" w:firstLineChars="200"/>
              <w:rPr>
                <w:rFonts w:ascii="仿宋_GB2312" w:hAnsi="宋体" w:eastAsia="仿宋_GB2312"/>
                <w:color w:val="auto"/>
                <w:sz w:val="30"/>
                <w:szCs w:val="30"/>
              </w:rPr>
            </w:pPr>
          </w:p>
        </w:tc>
        <w:tc>
          <w:tcPr>
            <w:tcW w:w="2693" w:type="dxa"/>
          </w:tcPr>
          <w:p>
            <w:pPr>
              <w:ind w:firstLine="600" w:firstLineChars="200"/>
              <w:rPr>
                <w:rFonts w:ascii="仿宋_GB2312" w:hAnsi="宋体" w:eastAsia="仿宋_GB2312"/>
                <w:color w:val="auto"/>
                <w:sz w:val="30"/>
                <w:szCs w:val="30"/>
              </w:rPr>
            </w:pPr>
          </w:p>
        </w:tc>
        <w:tc>
          <w:tcPr>
            <w:tcW w:w="3402" w:type="dxa"/>
          </w:tcPr>
          <w:p>
            <w:pPr>
              <w:ind w:firstLine="600" w:firstLineChars="200"/>
              <w:rPr>
                <w:rFonts w:ascii="仿宋_GB2312" w:hAnsi="宋体" w:eastAsia="仿宋_GB2312"/>
                <w:color w:val="auto"/>
                <w:sz w:val="30"/>
                <w:szCs w:val="30"/>
              </w:rPr>
            </w:pPr>
          </w:p>
        </w:tc>
      </w:tr>
    </w:tbl>
    <w:p>
      <w:pPr>
        <w:ind w:firstLine="600" w:firstLineChars="200"/>
        <w:rPr>
          <w:rFonts w:ascii="仿宋_GB2312" w:hAnsi="宋体" w:eastAsia="仿宋_GB2312"/>
          <w:color w:val="auto"/>
          <w:sz w:val="30"/>
          <w:szCs w:val="30"/>
        </w:rPr>
      </w:pPr>
    </w:p>
    <w:sectPr>
      <w:headerReference r:id="rId9" w:type="first"/>
      <w:footerReference r:id="rId10" w:type="first"/>
      <w:pgSz w:w="11906" w:h="16838"/>
      <w:pgMar w:top="1440" w:right="1558" w:bottom="1440" w:left="1800" w:header="850" w:footer="992" w:gutter="0"/>
      <w:pgNumType w:start="1"/>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4205141"/>
    </w:sdtPr>
    <w:sdtContent>
      <w:p>
        <w:pPr>
          <w:pStyle w:val="9"/>
          <w:jc w:val="center"/>
        </w:pPr>
        <w:r>
          <w:fldChar w:fldCharType="begin"/>
        </w:r>
        <w:r>
          <w:instrText xml:space="preserve">PAGE   \* MERGEFORMAT</w:instrText>
        </w:r>
        <w:r>
          <w:fldChar w:fldCharType="separate"/>
        </w:r>
        <w:r>
          <w:rPr>
            <w:lang w:val="zh-CN"/>
          </w:rPr>
          <w:t>3</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tabs>
        <w:tab w:val="center" w:pos="4153"/>
        <w:tab w:val="right" w:pos="8306"/>
        <w:tab w:val="clear" w:pos="4320"/>
        <w:tab w:val="clear" w:pos="8640"/>
      </w:tabs>
      <w:rPr>
        <w:szCs w:val="21"/>
      </w:rPr>
    </w:pPr>
    <w:r>
      <w:rPr>
        <w:bCs/>
        <w:szCs w:val="21"/>
      </w:rPr>
      <w:t>本文件产权属华能海南昌江核电有限公司所有，未经书面许可，不得以任何方式复制、泄露。</w:t>
    </w:r>
  </w:p>
  <w:p>
    <w:pPr>
      <w:pStyle w:val="9"/>
      <w:tabs>
        <w:tab w:val="center" w:pos="4153"/>
        <w:tab w:val="right" w:pos="8306"/>
        <w:tab w:val="clear" w:pos="4320"/>
        <w:tab w:val="clear" w:pos="8640"/>
      </w:tabs>
    </w:pPr>
  </w:p>
  <w:p>
    <w:pPr>
      <w:pStyle w:val="9"/>
    </w:pP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6326241"/>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center"/>
      <w:rPr>
        <w:rFonts w:asciiTheme="minorEastAsia" w:hAnsiTheme="minorEastAsia" w:eastAsiaTheme="minorEastAsia"/>
      </w:rPr>
    </w:pPr>
    <w:r>
      <w:rPr>
        <w:rFonts w:hint="eastAsia" w:cs="宋体" w:asciiTheme="minorEastAsia" w:hAnsiTheme="minorEastAsia" w:eastAsiaTheme="minorEastAsia"/>
        <w:bCs/>
        <w:sz w:val="21"/>
        <w:szCs w:val="21"/>
      </w:rPr>
      <w:t>华能海南昌江核电有限公司智能安全移动办公平台技术规格书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center"/>
    </w:pPr>
    <w:r>
      <w:rPr>
        <w:rFonts w:hint="eastAsia" w:cs="宋体" w:asciiTheme="minorEastAsia" w:hAnsiTheme="minorEastAsia" w:eastAsiaTheme="minorEastAsia"/>
        <w:bCs/>
        <w:sz w:val="21"/>
        <w:szCs w:val="21"/>
      </w:rPr>
      <w:t>华能海南昌江核电有限公司智能安全移动办公平台采购技术规格书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83A99"/>
    <w:multiLevelType w:val="multilevel"/>
    <w:tmpl w:val="13183A99"/>
    <w:lvl w:ilvl="0" w:tentative="0">
      <w:start w:val="1"/>
      <w:numFmt w:val="decimal"/>
      <w:pStyle w:val="2"/>
      <w:lvlText w:val="%1."/>
      <w:lvlJc w:val="left"/>
      <w:pPr>
        <w:ind w:left="425" w:hanging="425"/>
      </w:pPr>
    </w:lvl>
    <w:lvl w:ilvl="1" w:tentative="0">
      <w:start w:val="1"/>
      <w:numFmt w:val="decimal"/>
      <w:lvlText w:val="%1.%2."/>
      <w:lvlJc w:val="left"/>
      <w:pPr>
        <w:ind w:left="567" w:hanging="567"/>
      </w:pPr>
      <w:rPr>
        <w:rFonts w:ascii="宋体" w:hAnsi="宋体" w:eastAsia="宋体"/>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pStyle w:val="6"/>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2A0F362F"/>
    <w:multiLevelType w:val="multilevel"/>
    <w:tmpl w:val="2A0F362F"/>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
    <w:nsid w:val="32E77F1B"/>
    <w:multiLevelType w:val="multilevel"/>
    <w:tmpl w:val="32E77F1B"/>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3EE22F5B"/>
    <w:multiLevelType w:val="multilevel"/>
    <w:tmpl w:val="3EE22F5B"/>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
    <w:nsid w:val="58B01C77"/>
    <w:multiLevelType w:val="multilevel"/>
    <w:tmpl w:val="58B01C77"/>
    <w:lvl w:ilvl="0" w:tentative="0">
      <w:start w:val="1"/>
      <w:numFmt w:val="decimal"/>
      <w:lvlText w:val="%1)"/>
      <w:lvlJc w:val="left"/>
      <w:pPr>
        <w:ind w:left="1440" w:hanging="420"/>
      </w:pPr>
    </w:lvl>
    <w:lvl w:ilvl="1" w:tentative="0">
      <w:start w:val="1"/>
      <w:numFmt w:val="lowerLetter"/>
      <w:lvlText w:val="%2)"/>
      <w:lvlJc w:val="left"/>
      <w:pPr>
        <w:ind w:left="1860" w:hanging="420"/>
      </w:pPr>
    </w:lvl>
    <w:lvl w:ilvl="2" w:tentative="0">
      <w:start w:val="1"/>
      <w:numFmt w:val="lowerRoman"/>
      <w:lvlText w:val="%3."/>
      <w:lvlJc w:val="right"/>
      <w:pPr>
        <w:ind w:left="2280" w:hanging="420"/>
      </w:pPr>
    </w:lvl>
    <w:lvl w:ilvl="3" w:tentative="0">
      <w:start w:val="1"/>
      <w:numFmt w:val="decimal"/>
      <w:lvlText w:val="%4."/>
      <w:lvlJc w:val="left"/>
      <w:pPr>
        <w:ind w:left="2700" w:hanging="420"/>
      </w:pPr>
    </w:lvl>
    <w:lvl w:ilvl="4" w:tentative="0">
      <w:start w:val="1"/>
      <w:numFmt w:val="lowerLetter"/>
      <w:lvlText w:val="%5)"/>
      <w:lvlJc w:val="left"/>
      <w:pPr>
        <w:ind w:left="3120" w:hanging="420"/>
      </w:pPr>
    </w:lvl>
    <w:lvl w:ilvl="5" w:tentative="0">
      <w:start w:val="1"/>
      <w:numFmt w:val="lowerRoman"/>
      <w:lvlText w:val="%6."/>
      <w:lvlJc w:val="right"/>
      <w:pPr>
        <w:ind w:left="3540" w:hanging="420"/>
      </w:pPr>
    </w:lvl>
    <w:lvl w:ilvl="6" w:tentative="0">
      <w:start w:val="1"/>
      <w:numFmt w:val="decimal"/>
      <w:lvlText w:val="%7."/>
      <w:lvlJc w:val="left"/>
      <w:pPr>
        <w:ind w:left="3960" w:hanging="420"/>
      </w:pPr>
    </w:lvl>
    <w:lvl w:ilvl="7" w:tentative="0">
      <w:start w:val="1"/>
      <w:numFmt w:val="lowerLetter"/>
      <w:lvlText w:val="%8)"/>
      <w:lvlJc w:val="left"/>
      <w:pPr>
        <w:ind w:left="4380" w:hanging="420"/>
      </w:pPr>
    </w:lvl>
    <w:lvl w:ilvl="8" w:tentative="0">
      <w:start w:val="1"/>
      <w:numFmt w:val="lowerRoman"/>
      <w:lvlText w:val="%9."/>
      <w:lvlJc w:val="right"/>
      <w:pPr>
        <w:ind w:left="4800" w:hanging="420"/>
      </w:pPr>
    </w:lvl>
  </w:abstractNum>
  <w:abstractNum w:abstractNumId="5">
    <w:nsid w:val="65E67B4F"/>
    <w:multiLevelType w:val="multilevel"/>
    <w:tmpl w:val="65E67B4F"/>
    <w:lvl w:ilvl="0" w:tentative="0">
      <w:start w:val="1"/>
      <w:numFmt w:val="decimal"/>
      <w:lvlText w:val="%1)"/>
      <w:lvlJc w:val="left"/>
      <w:pPr>
        <w:ind w:left="1020" w:hanging="420"/>
      </w:pPr>
    </w:lvl>
    <w:lvl w:ilvl="1" w:tentative="0">
      <w:start w:val="1"/>
      <w:numFmt w:val="decimal"/>
      <w:lvlText w:val="（%2）"/>
      <w:lvlJc w:val="left"/>
      <w:pPr>
        <w:ind w:left="2100" w:hanging="1080"/>
      </w:pPr>
      <w:rPr>
        <w:rFonts w:hint="default"/>
      </w:r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42212"/>
    <w:rsid w:val="00000B63"/>
    <w:rsid w:val="00035A4C"/>
    <w:rsid w:val="000366AE"/>
    <w:rsid w:val="00042128"/>
    <w:rsid w:val="00081190"/>
    <w:rsid w:val="0008393F"/>
    <w:rsid w:val="000A20D8"/>
    <w:rsid w:val="000B5693"/>
    <w:rsid w:val="000B701E"/>
    <w:rsid w:val="000B78A1"/>
    <w:rsid w:val="000E360E"/>
    <w:rsid w:val="000E7B47"/>
    <w:rsid w:val="00103F91"/>
    <w:rsid w:val="00133A4C"/>
    <w:rsid w:val="0015028D"/>
    <w:rsid w:val="001926B0"/>
    <w:rsid w:val="001C5D4C"/>
    <w:rsid w:val="001E22F1"/>
    <w:rsid w:val="001E77B6"/>
    <w:rsid w:val="001E7D9E"/>
    <w:rsid w:val="00203238"/>
    <w:rsid w:val="00204DF1"/>
    <w:rsid w:val="00211A82"/>
    <w:rsid w:val="0022473A"/>
    <w:rsid w:val="00253C83"/>
    <w:rsid w:val="00281C5B"/>
    <w:rsid w:val="00293C65"/>
    <w:rsid w:val="002D376B"/>
    <w:rsid w:val="002E0777"/>
    <w:rsid w:val="002E29BD"/>
    <w:rsid w:val="00335AEB"/>
    <w:rsid w:val="003416F4"/>
    <w:rsid w:val="00344DBA"/>
    <w:rsid w:val="003536BC"/>
    <w:rsid w:val="00387191"/>
    <w:rsid w:val="003873E7"/>
    <w:rsid w:val="003957D3"/>
    <w:rsid w:val="003C4EFF"/>
    <w:rsid w:val="003C640C"/>
    <w:rsid w:val="003C6CAE"/>
    <w:rsid w:val="0040293C"/>
    <w:rsid w:val="0041138C"/>
    <w:rsid w:val="004121C4"/>
    <w:rsid w:val="00437747"/>
    <w:rsid w:val="0044640D"/>
    <w:rsid w:val="004819E6"/>
    <w:rsid w:val="004912AD"/>
    <w:rsid w:val="004A2DD9"/>
    <w:rsid w:val="004B3782"/>
    <w:rsid w:val="004B4878"/>
    <w:rsid w:val="004D0841"/>
    <w:rsid w:val="004D5E07"/>
    <w:rsid w:val="004E6C11"/>
    <w:rsid w:val="004F570E"/>
    <w:rsid w:val="0055094E"/>
    <w:rsid w:val="00565654"/>
    <w:rsid w:val="005750D4"/>
    <w:rsid w:val="00584D62"/>
    <w:rsid w:val="005A1743"/>
    <w:rsid w:val="005A174C"/>
    <w:rsid w:val="005D4996"/>
    <w:rsid w:val="005E4744"/>
    <w:rsid w:val="005E6AD3"/>
    <w:rsid w:val="006006A8"/>
    <w:rsid w:val="00610F65"/>
    <w:rsid w:val="0061192D"/>
    <w:rsid w:val="00622BF3"/>
    <w:rsid w:val="00631F6D"/>
    <w:rsid w:val="00632422"/>
    <w:rsid w:val="006510F2"/>
    <w:rsid w:val="00652E08"/>
    <w:rsid w:val="006550C5"/>
    <w:rsid w:val="006A76EF"/>
    <w:rsid w:val="006B2749"/>
    <w:rsid w:val="006D1B33"/>
    <w:rsid w:val="006E3DAE"/>
    <w:rsid w:val="006F5396"/>
    <w:rsid w:val="007161DE"/>
    <w:rsid w:val="0075238D"/>
    <w:rsid w:val="007544C8"/>
    <w:rsid w:val="007620EE"/>
    <w:rsid w:val="00772732"/>
    <w:rsid w:val="00781E3C"/>
    <w:rsid w:val="007979DE"/>
    <w:rsid w:val="007A039D"/>
    <w:rsid w:val="007A3935"/>
    <w:rsid w:val="007A4FDA"/>
    <w:rsid w:val="007A787D"/>
    <w:rsid w:val="007B09D8"/>
    <w:rsid w:val="007C11C9"/>
    <w:rsid w:val="007D4CCC"/>
    <w:rsid w:val="008006AD"/>
    <w:rsid w:val="008223BA"/>
    <w:rsid w:val="0082346E"/>
    <w:rsid w:val="00824581"/>
    <w:rsid w:val="00842157"/>
    <w:rsid w:val="00861D90"/>
    <w:rsid w:val="00862D34"/>
    <w:rsid w:val="00865C04"/>
    <w:rsid w:val="008776A8"/>
    <w:rsid w:val="00880670"/>
    <w:rsid w:val="00893DD6"/>
    <w:rsid w:val="008C3E1F"/>
    <w:rsid w:val="008D0369"/>
    <w:rsid w:val="008E231B"/>
    <w:rsid w:val="008F21E0"/>
    <w:rsid w:val="008F31BF"/>
    <w:rsid w:val="008F7CDF"/>
    <w:rsid w:val="00914DC3"/>
    <w:rsid w:val="00924D0F"/>
    <w:rsid w:val="00924FE3"/>
    <w:rsid w:val="00925C23"/>
    <w:rsid w:val="00942212"/>
    <w:rsid w:val="00955B85"/>
    <w:rsid w:val="00970846"/>
    <w:rsid w:val="009832A4"/>
    <w:rsid w:val="009907F3"/>
    <w:rsid w:val="009C7AF0"/>
    <w:rsid w:val="009D4152"/>
    <w:rsid w:val="00A046FF"/>
    <w:rsid w:val="00A2230A"/>
    <w:rsid w:val="00A35575"/>
    <w:rsid w:val="00A37024"/>
    <w:rsid w:val="00A473E6"/>
    <w:rsid w:val="00A51DC8"/>
    <w:rsid w:val="00A62445"/>
    <w:rsid w:val="00A92620"/>
    <w:rsid w:val="00AB3346"/>
    <w:rsid w:val="00AC1A6B"/>
    <w:rsid w:val="00AF3FDC"/>
    <w:rsid w:val="00AF677B"/>
    <w:rsid w:val="00B029E7"/>
    <w:rsid w:val="00B11726"/>
    <w:rsid w:val="00B40D08"/>
    <w:rsid w:val="00B44040"/>
    <w:rsid w:val="00B52E79"/>
    <w:rsid w:val="00B5580C"/>
    <w:rsid w:val="00B56009"/>
    <w:rsid w:val="00B64978"/>
    <w:rsid w:val="00B7527E"/>
    <w:rsid w:val="00B96133"/>
    <w:rsid w:val="00BD3225"/>
    <w:rsid w:val="00BD6124"/>
    <w:rsid w:val="00BF1A7F"/>
    <w:rsid w:val="00BF3011"/>
    <w:rsid w:val="00C04A18"/>
    <w:rsid w:val="00C17E3D"/>
    <w:rsid w:val="00C30AA0"/>
    <w:rsid w:val="00C30CBD"/>
    <w:rsid w:val="00C31025"/>
    <w:rsid w:val="00C3134B"/>
    <w:rsid w:val="00C4003B"/>
    <w:rsid w:val="00C7118D"/>
    <w:rsid w:val="00C81ABD"/>
    <w:rsid w:val="00C8559B"/>
    <w:rsid w:val="00C946FA"/>
    <w:rsid w:val="00CB4E26"/>
    <w:rsid w:val="00CC4E1B"/>
    <w:rsid w:val="00CD15FF"/>
    <w:rsid w:val="00CD3B9E"/>
    <w:rsid w:val="00CF50BD"/>
    <w:rsid w:val="00D43924"/>
    <w:rsid w:val="00D451F7"/>
    <w:rsid w:val="00D626B1"/>
    <w:rsid w:val="00D97B31"/>
    <w:rsid w:val="00DA33AB"/>
    <w:rsid w:val="00DA4AFE"/>
    <w:rsid w:val="00DB063E"/>
    <w:rsid w:val="00DC4D8D"/>
    <w:rsid w:val="00DF2320"/>
    <w:rsid w:val="00E479E8"/>
    <w:rsid w:val="00E5441F"/>
    <w:rsid w:val="00E6007C"/>
    <w:rsid w:val="00E76099"/>
    <w:rsid w:val="00EA05D8"/>
    <w:rsid w:val="00EB3039"/>
    <w:rsid w:val="00EB4191"/>
    <w:rsid w:val="00EB4AF7"/>
    <w:rsid w:val="00EB5CDB"/>
    <w:rsid w:val="00EC25F4"/>
    <w:rsid w:val="00EE486B"/>
    <w:rsid w:val="00EE5FD1"/>
    <w:rsid w:val="00F02657"/>
    <w:rsid w:val="00F3439C"/>
    <w:rsid w:val="00F40E39"/>
    <w:rsid w:val="00F47DC5"/>
    <w:rsid w:val="00F5502C"/>
    <w:rsid w:val="00F623B8"/>
    <w:rsid w:val="00F6419B"/>
    <w:rsid w:val="00F66C87"/>
    <w:rsid w:val="00F67DE3"/>
    <w:rsid w:val="00F7507A"/>
    <w:rsid w:val="00F76206"/>
    <w:rsid w:val="00FA5C1F"/>
    <w:rsid w:val="00FB0266"/>
    <w:rsid w:val="00FB52CC"/>
    <w:rsid w:val="00FD5FA1"/>
    <w:rsid w:val="00FD7538"/>
    <w:rsid w:val="00FE55C6"/>
    <w:rsid w:val="00FF5809"/>
    <w:rsid w:val="0CF55DA3"/>
    <w:rsid w:val="12B47B6F"/>
    <w:rsid w:val="23AF0249"/>
    <w:rsid w:val="5D61318E"/>
    <w:rsid w:val="6B8736D1"/>
    <w:rsid w:val="7CF657F5"/>
    <w:rsid w:val="7E034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560" w:lineRule="exact"/>
      <w:jc w:val="both"/>
      <w:textAlignment w:val="baseline"/>
    </w:pPr>
    <w:rPr>
      <w:rFonts w:ascii="微软雅黑" w:hAnsi="微软雅黑" w:eastAsia="微软雅黑" w:cs="Times New Roman"/>
      <w:sz w:val="24"/>
      <w:lang w:val="en-US" w:eastAsia="zh-CN" w:bidi="ar-SA"/>
    </w:rPr>
  </w:style>
  <w:style w:type="paragraph" w:styleId="2">
    <w:name w:val="heading 1"/>
    <w:basedOn w:val="1"/>
    <w:next w:val="1"/>
    <w:link w:val="18"/>
    <w:qFormat/>
    <w:uiPriority w:val="9"/>
    <w:pPr>
      <w:keepNext/>
      <w:keepLines/>
      <w:numPr>
        <w:ilvl w:val="0"/>
        <w:numId w:val="1"/>
      </w:numPr>
      <w:adjustRightInd/>
      <w:spacing w:before="120" w:line="240" w:lineRule="auto"/>
      <w:textAlignment w:val="auto"/>
      <w:outlineLvl w:val="0"/>
    </w:pPr>
    <w:rPr>
      <w:rFonts w:asciiTheme="minorEastAsia" w:hAnsiTheme="minorEastAsia" w:eastAsiaTheme="minorEastAsia"/>
      <w:bCs/>
      <w:sz w:val="28"/>
      <w:szCs w:val="28"/>
    </w:rPr>
  </w:style>
  <w:style w:type="paragraph" w:styleId="3">
    <w:name w:val="heading 2"/>
    <w:basedOn w:val="1"/>
    <w:next w:val="1"/>
    <w:link w:val="19"/>
    <w:unhideWhenUsed/>
    <w:qFormat/>
    <w:uiPriority w:val="0"/>
    <w:pPr>
      <w:keepNext/>
      <w:keepLines/>
      <w:widowControl/>
      <w:adjustRightInd/>
      <w:spacing w:line="240" w:lineRule="auto"/>
      <w:jc w:val="left"/>
      <w:textAlignment w:val="auto"/>
      <w:outlineLvl w:val="1"/>
    </w:pPr>
    <w:rPr>
      <w:rFonts w:ascii="宋体" w:hAnsi="宋体" w:eastAsia="宋体"/>
      <w:bCs/>
      <w:sz w:val="28"/>
      <w:szCs w:val="28"/>
    </w:rPr>
  </w:style>
  <w:style w:type="paragraph" w:styleId="4">
    <w:name w:val="heading 3"/>
    <w:basedOn w:val="1"/>
    <w:next w:val="1"/>
    <w:link w:val="20"/>
    <w:unhideWhenUsed/>
    <w:qFormat/>
    <w:uiPriority w:val="9"/>
    <w:pPr>
      <w:keepNext/>
      <w:keepLines/>
      <w:spacing w:before="40"/>
      <w:outlineLvl w:val="2"/>
    </w:pPr>
    <w:rPr>
      <w:rFonts w:asciiTheme="majorHAnsi" w:hAnsiTheme="majorHAnsi" w:eastAsiaTheme="majorEastAsia" w:cstheme="majorBidi"/>
      <w:b/>
      <w:color w:val="000000" w:themeColor="text1"/>
      <w:spacing w:val="-20"/>
      <w:sz w:val="32"/>
      <w:szCs w:val="24"/>
    </w:rPr>
  </w:style>
  <w:style w:type="paragraph" w:styleId="5">
    <w:name w:val="heading 4"/>
    <w:basedOn w:val="1"/>
    <w:next w:val="1"/>
    <w:link w:val="21"/>
    <w:unhideWhenUsed/>
    <w:qFormat/>
    <w:uiPriority w:val="9"/>
    <w:pPr>
      <w:keepNext/>
      <w:keepLines/>
      <w:spacing w:before="40"/>
      <w:outlineLvl w:val="3"/>
    </w:pPr>
    <w:rPr>
      <w:rFonts w:asciiTheme="majorHAnsi" w:hAnsiTheme="majorHAnsi" w:eastAsiaTheme="majorEastAsia" w:cstheme="majorBidi"/>
      <w:b/>
      <w:iCs/>
      <w:color w:val="000000" w:themeColor="text1"/>
      <w:spacing w:val="-20"/>
      <w:sz w:val="28"/>
    </w:rPr>
  </w:style>
  <w:style w:type="paragraph" w:styleId="6">
    <w:name w:val="heading 5"/>
    <w:basedOn w:val="1"/>
    <w:next w:val="1"/>
    <w:link w:val="22"/>
    <w:unhideWhenUsed/>
    <w:qFormat/>
    <w:uiPriority w:val="9"/>
    <w:pPr>
      <w:keepNext/>
      <w:keepLines/>
      <w:widowControl/>
      <w:numPr>
        <w:ilvl w:val="4"/>
        <w:numId w:val="1"/>
      </w:numPr>
      <w:adjustRightInd/>
      <w:spacing w:before="280" w:after="290" w:line="376" w:lineRule="auto"/>
      <w:jc w:val="left"/>
      <w:textAlignment w:val="auto"/>
      <w:outlineLvl w:val="4"/>
    </w:pPr>
    <w:rPr>
      <w:rFonts w:asciiTheme="majorHAnsi" w:hAnsiTheme="majorHAnsi" w:eastAsiaTheme="majorEastAsia" w:cstheme="majorBidi"/>
      <w:b/>
      <w:color w:val="000000" w:themeColor="text1"/>
      <w:spacing w:val="-20"/>
    </w:rPr>
  </w:style>
  <w:style w:type="character" w:default="1" w:styleId="12">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7">
    <w:name w:val="Normal Indent"/>
    <w:basedOn w:val="1"/>
    <w:link w:val="31"/>
    <w:uiPriority w:val="0"/>
    <w:pPr>
      <w:adjustRightInd/>
      <w:spacing w:before="60" w:after="60" w:line="300" w:lineRule="auto"/>
      <w:ind w:firstLine="510"/>
      <w:textAlignment w:val="auto"/>
    </w:pPr>
    <w:rPr>
      <w:rFonts w:ascii="Times New Roman" w:hAnsi="Times New Roman" w:eastAsia="宋体"/>
      <w:spacing w:val="10"/>
      <w:szCs w:val="24"/>
      <w:lang w:val="zh-CN"/>
    </w:rPr>
  </w:style>
  <w:style w:type="paragraph" w:styleId="8">
    <w:name w:val="Balloon Text"/>
    <w:basedOn w:val="1"/>
    <w:link w:val="34"/>
    <w:semiHidden/>
    <w:unhideWhenUsed/>
    <w:uiPriority w:val="99"/>
    <w:pPr>
      <w:spacing w:line="240" w:lineRule="auto"/>
    </w:pPr>
    <w:rPr>
      <w:sz w:val="18"/>
      <w:szCs w:val="18"/>
    </w:rPr>
  </w:style>
  <w:style w:type="paragraph" w:styleId="9">
    <w:name w:val="footer"/>
    <w:basedOn w:val="1"/>
    <w:link w:val="16"/>
    <w:unhideWhenUsed/>
    <w:uiPriority w:val="99"/>
    <w:pPr>
      <w:tabs>
        <w:tab w:val="center" w:pos="4320"/>
        <w:tab w:val="right" w:pos="8640"/>
      </w:tabs>
      <w:adjustRightInd/>
      <w:spacing w:line="240" w:lineRule="auto"/>
      <w:textAlignment w:val="auto"/>
    </w:pPr>
    <w:rPr>
      <w:rFonts w:asciiTheme="minorHAnsi" w:hAnsiTheme="minorHAnsi" w:eastAsiaTheme="minorEastAsia" w:cstheme="minorBidi"/>
      <w:kern w:val="2"/>
      <w:sz w:val="21"/>
      <w:szCs w:val="22"/>
    </w:rPr>
  </w:style>
  <w:style w:type="paragraph" w:styleId="10">
    <w:name w:val="header"/>
    <w:basedOn w:val="1"/>
    <w:link w:val="15"/>
    <w:unhideWhenUsed/>
    <w:qFormat/>
    <w:uiPriority w:val="99"/>
    <w:pPr>
      <w:tabs>
        <w:tab w:val="center" w:pos="4320"/>
        <w:tab w:val="right" w:pos="8640"/>
      </w:tabs>
      <w:adjustRightInd/>
      <w:spacing w:line="240" w:lineRule="auto"/>
      <w:textAlignment w:val="auto"/>
    </w:pPr>
    <w:rPr>
      <w:rFonts w:asciiTheme="minorHAnsi" w:hAnsiTheme="minorHAnsi" w:eastAsiaTheme="minorEastAsia" w:cstheme="minorBidi"/>
      <w:kern w:val="2"/>
      <w:sz w:val="21"/>
      <w:szCs w:val="22"/>
    </w:rPr>
  </w:style>
  <w:style w:type="paragraph" w:styleId="11">
    <w:name w:val="Title"/>
    <w:basedOn w:val="1"/>
    <w:next w:val="1"/>
    <w:link w:val="17"/>
    <w:qFormat/>
    <w:uiPriority w:val="10"/>
    <w:pPr>
      <w:spacing w:line="240" w:lineRule="auto"/>
      <w:contextualSpacing/>
    </w:pPr>
    <w:rPr>
      <w:rFonts w:asciiTheme="majorHAnsi" w:hAnsiTheme="majorHAnsi" w:eastAsiaTheme="majorEastAsia" w:cstheme="majorBidi"/>
      <w:spacing w:val="-10"/>
      <w:kern w:val="28"/>
      <w:sz w:val="56"/>
      <w:szCs w:val="56"/>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字符"/>
    <w:basedOn w:val="12"/>
    <w:link w:val="10"/>
    <w:qFormat/>
    <w:uiPriority w:val="99"/>
  </w:style>
  <w:style w:type="character" w:customStyle="1" w:styleId="16">
    <w:name w:val="页脚 字符"/>
    <w:basedOn w:val="12"/>
    <w:link w:val="9"/>
    <w:qFormat/>
    <w:uiPriority w:val="99"/>
  </w:style>
  <w:style w:type="character" w:customStyle="1" w:styleId="17">
    <w:name w:val="标题 字符"/>
    <w:basedOn w:val="12"/>
    <w:link w:val="11"/>
    <w:qFormat/>
    <w:uiPriority w:val="10"/>
    <w:rPr>
      <w:rFonts w:asciiTheme="majorHAnsi" w:hAnsiTheme="majorHAnsi" w:eastAsiaTheme="majorEastAsia" w:cstheme="majorBidi"/>
      <w:spacing w:val="-10"/>
      <w:kern w:val="28"/>
      <w:sz w:val="56"/>
      <w:szCs w:val="56"/>
    </w:rPr>
  </w:style>
  <w:style w:type="character" w:customStyle="1" w:styleId="18">
    <w:name w:val="标题 1 字符"/>
    <w:basedOn w:val="12"/>
    <w:link w:val="2"/>
    <w:uiPriority w:val="9"/>
    <w:rPr>
      <w:rFonts w:cs="Times New Roman" w:asciiTheme="minorEastAsia" w:hAnsiTheme="minorEastAsia"/>
      <w:bCs/>
      <w:kern w:val="0"/>
      <w:sz w:val="28"/>
      <w:szCs w:val="28"/>
    </w:rPr>
  </w:style>
  <w:style w:type="character" w:customStyle="1" w:styleId="19">
    <w:name w:val="标题 2 字符"/>
    <w:basedOn w:val="12"/>
    <w:link w:val="3"/>
    <w:qFormat/>
    <w:uiPriority w:val="0"/>
    <w:rPr>
      <w:rFonts w:ascii="宋体" w:hAnsi="宋体" w:eastAsia="宋体" w:cs="Times New Roman"/>
      <w:bCs/>
      <w:kern w:val="0"/>
      <w:sz w:val="28"/>
      <w:szCs w:val="28"/>
    </w:rPr>
  </w:style>
  <w:style w:type="character" w:customStyle="1" w:styleId="20">
    <w:name w:val="标题 3 字符"/>
    <w:basedOn w:val="12"/>
    <w:link w:val="4"/>
    <w:qFormat/>
    <w:uiPriority w:val="9"/>
    <w:rPr>
      <w:rFonts w:asciiTheme="majorHAnsi" w:hAnsiTheme="majorHAnsi" w:eastAsiaTheme="majorEastAsia" w:cstheme="majorBidi"/>
      <w:b/>
      <w:color w:val="000000" w:themeColor="text1"/>
      <w:spacing w:val="-20"/>
      <w:kern w:val="0"/>
      <w:sz w:val="32"/>
      <w:szCs w:val="24"/>
    </w:rPr>
  </w:style>
  <w:style w:type="character" w:customStyle="1" w:styleId="21">
    <w:name w:val="标题 4 字符"/>
    <w:basedOn w:val="12"/>
    <w:link w:val="5"/>
    <w:qFormat/>
    <w:uiPriority w:val="9"/>
    <w:rPr>
      <w:rFonts w:asciiTheme="majorHAnsi" w:hAnsiTheme="majorHAnsi" w:eastAsiaTheme="majorEastAsia" w:cstheme="majorBidi"/>
      <w:b/>
      <w:iCs/>
      <w:color w:val="000000" w:themeColor="text1"/>
      <w:spacing w:val="-20"/>
      <w:kern w:val="0"/>
      <w:sz w:val="28"/>
      <w:szCs w:val="20"/>
    </w:rPr>
  </w:style>
  <w:style w:type="character" w:customStyle="1" w:styleId="22">
    <w:name w:val="标题 5 字符"/>
    <w:basedOn w:val="12"/>
    <w:link w:val="6"/>
    <w:qFormat/>
    <w:uiPriority w:val="9"/>
    <w:rPr>
      <w:rFonts w:asciiTheme="majorHAnsi" w:hAnsiTheme="majorHAnsi" w:eastAsiaTheme="majorEastAsia" w:cstheme="majorBidi"/>
      <w:b/>
      <w:color w:val="000000" w:themeColor="text1"/>
      <w:spacing w:val="-20"/>
      <w:kern w:val="0"/>
      <w:sz w:val="24"/>
      <w:szCs w:val="20"/>
    </w:rPr>
  </w:style>
  <w:style w:type="paragraph" w:styleId="23">
    <w:name w:val="List Paragraph"/>
    <w:basedOn w:val="1"/>
    <w:qFormat/>
    <w:uiPriority w:val="34"/>
    <w:pPr>
      <w:ind w:left="720"/>
      <w:contextualSpacing/>
    </w:pPr>
  </w:style>
  <w:style w:type="paragraph" w:customStyle="1" w:styleId="24">
    <w:name w:val="Table Paragraph"/>
    <w:basedOn w:val="1"/>
    <w:qFormat/>
    <w:uiPriority w:val="1"/>
    <w:pPr>
      <w:jc w:val="left"/>
    </w:pPr>
    <w:rPr>
      <w:rFonts w:ascii="Calibri" w:hAnsi="Calibri" w:eastAsia="宋体"/>
      <w:sz w:val="22"/>
      <w:lang w:eastAsia="en-US"/>
    </w:rPr>
  </w:style>
  <w:style w:type="paragraph" w:customStyle="1" w:styleId="25">
    <w:name w:val="标书正文"/>
    <w:basedOn w:val="1"/>
    <w:link w:val="26"/>
    <w:qFormat/>
    <w:uiPriority w:val="0"/>
    <w:pPr>
      <w:widowControl/>
      <w:adjustRightInd/>
      <w:spacing w:line="360" w:lineRule="auto"/>
      <w:ind w:firstLine="200" w:firstLineChars="200"/>
      <w:jc w:val="left"/>
      <w:textAlignment w:val="auto"/>
    </w:pPr>
    <w:rPr>
      <w:rFonts w:ascii="Times New Roman" w:hAnsi="Times New Roman" w:eastAsia="宋体" w:cs="宋体"/>
    </w:rPr>
  </w:style>
  <w:style w:type="character" w:customStyle="1" w:styleId="26">
    <w:name w:val="标书正文 Char"/>
    <w:basedOn w:val="12"/>
    <w:link w:val="25"/>
    <w:qFormat/>
    <w:uiPriority w:val="0"/>
    <w:rPr>
      <w:rFonts w:ascii="Times New Roman" w:hAnsi="Times New Roman" w:eastAsia="宋体" w:cs="宋体"/>
      <w:kern w:val="0"/>
      <w:sz w:val="24"/>
      <w:szCs w:val="20"/>
    </w:rPr>
  </w:style>
  <w:style w:type="paragraph" w:customStyle="1" w:styleId="27">
    <w:name w:val="列出段落1"/>
    <w:basedOn w:val="1"/>
    <w:qFormat/>
    <w:uiPriority w:val="0"/>
    <w:pPr>
      <w:widowControl/>
      <w:adjustRightInd/>
      <w:spacing w:line="240" w:lineRule="auto"/>
      <w:ind w:firstLine="420" w:firstLineChars="200"/>
      <w:jc w:val="left"/>
      <w:textAlignment w:val="auto"/>
    </w:pPr>
    <w:rPr>
      <w:rFonts w:ascii="Cambria" w:hAnsi="Cambria"/>
      <w:color w:val="595959"/>
      <w:kern w:val="20"/>
      <w:sz w:val="21"/>
      <w:lang w:val="zh-CN"/>
    </w:rPr>
  </w:style>
  <w:style w:type="character" w:customStyle="1" w:styleId="28">
    <w:name w:val="QB正文 Char"/>
    <w:link w:val="29"/>
    <w:qFormat/>
    <w:uiPriority w:val="0"/>
    <w:rPr>
      <w:rFonts w:ascii="宋体" w:hAnsi="宋体" w:eastAsia="宋体" w:cs="仿宋"/>
      <w:kern w:val="0"/>
      <w:sz w:val="24"/>
      <w:szCs w:val="24"/>
      <w:lang w:val="en-GB"/>
    </w:rPr>
  </w:style>
  <w:style w:type="paragraph" w:customStyle="1" w:styleId="29">
    <w:name w:val="QB正文"/>
    <w:basedOn w:val="1"/>
    <w:link w:val="28"/>
    <w:qFormat/>
    <w:uiPriority w:val="0"/>
    <w:pPr>
      <w:adjustRightInd/>
      <w:spacing w:line="360" w:lineRule="auto"/>
      <w:ind w:firstLine="480" w:firstLineChars="200"/>
      <w:textAlignment w:val="auto"/>
    </w:pPr>
    <w:rPr>
      <w:rFonts w:ascii="宋体" w:hAnsi="宋体" w:eastAsia="宋体" w:cs="仿宋"/>
      <w:szCs w:val="24"/>
      <w:lang w:val="en-GB"/>
    </w:rPr>
  </w:style>
  <w:style w:type="paragraph" w:customStyle="1" w:styleId="30">
    <w:name w:val="_Style 27"/>
    <w:basedOn w:val="1"/>
    <w:next w:val="23"/>
    <w:qFormat/>
    <w:uiPriority w:val="0"/>
    <w:pPr>
      <w:adjustRightInd/>
      <w:spacing w:line="240" w:lineRule="auto"/>
      <w:ind w:firstLine="420" w:firstLineChars="200"/>
      <w:textAlignment w:val="auto"/>
    </w:pPr>
    <w:rPr>
      <w:rFonts w:ascii="Calibri" w:hAnsi="Calibri" w:eastAsia="宋体"/>
      <w:kern w:val="2"/>
      <w:sz w:val="21"/>
      <w:szCs w:val="22"/>
    </w:rPr>
  </w:style>
  <w:style w:type="character" w:customStyle="1" w:styleId="31">
    <w:name w:val="正文缩进 字符"/>
    <w:link w:val="7"/>
    <w:qFormat/>
    <w:uiPriority w:val="0"/>
    <w:rPr>
      <w:rFonts w:ascii="Times New Roman" w:hAnsi="Times New Roman" w:eastAsia="宋体" w:cs="Times New Roman"/>
      <w:spacing w:val="10"/>
      <w:kern w:val="0"/>
      <w:sz w:val="24"/>
      <w:szCs w:val="24"/>
      <w:lang w:val="zh-CN" w:eastAsia="zh-CN"/>
    </w:rPr>
  </w:style>
  <w:style w:type="paragraph" w:customStyle="1" w:styleId="32">
    <w:name w:val="Block Text2"/>
    <w:basedOn w:val="1"/>
    <w:qFormat/>
    <w:uiPriority w:val="0"/>
    <w:pPr>
      <w:overflowPunct w:val="0"/>
      <w:autoSpaceDE w:val="0"/>
      <w:autoSpaceDN w:val="0"/>
      <w:spacing w:line="240" w:lineRule="auto"/>
    </w:pPr>
    <w:rPr>
      <w:rFonts w:ascii="Calibri" w:hAnsi="Calibri" w:eastAsia="宋体"/>
      <w:kern w:val="2"/>
      <w:szCs w:val="22"/>
    </w:rPr>
  </w:style>
  <w:style w:type="paragraph" w:customStyle="1" w:styleId="33">
    <w:name w:val="GEDI正文样式"/>
    <w:basedOn w:val="1"/>
    <w:qFormat/>
    <w:uiPriority w:val="0"/>
    <w:pPr>
      <w:snapToGrid w:val="0"/>
      <w:spacing w:line="480" w:lineRule="atLeast"/>
      <w:ind w:firstLine="480" w:firstLineChars="200"/>
      <w:textAlignment w:val="auto"/>
    </w:pPr>
    <w:rPr>
      <w:rFonts w:ascii="Times New Roman" w:hAnsi="Times New Roman" w:eastAsia="宋体"/>
      <w:kern w:val="2"/>
      <w:szCs w:val="24"/>
    </w:rPr>
  </w:style>
  <w:style w:type="character" w:customStyle="1" w:styleId="34">
    <w:name w:val="批注框文本 字符"/>
    <w:basedOn w:val="12"/>
    <w:link w:val="8"/>
    <w:semiHidden/>
    <w:qFormat/>
    <w:uiPriority w:val="99"/>
    <w:rPr>
      <w:rFonts w:ascii="微软雅黑" w:hAnsi="微软雅黑" w:eastAsia="微软雅黑"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A623EF-0060-40F8-B2B7-E515D71F481F}">
  <ds:schemaRefs/>
</ds:datastoreItem>
</file>

<file path=docProps/app.xml><?xml version="1.0" encoding="utf-8"?>
<Properties xmlns="http://schemas.openxmlformats.org/officeDocument/2006/extended-properties" xmlns:vt="http://schemas.openxmlformats.org/officeDocument/2006/docPropsVTypes">
  <Template>Normal</Template>
  <Pages>13</Pages>
  <Words>901</Words>
  <Characters>5138</Characters>
  <Lines>42</Lines>
  <Paragraphs>12</Paragraphs>
  <TotalTime>9</TotalTime>
  <ScaleCrop>false</ScaleCrop>
  <LinksUpToDate>false</LinksUpToDate>
  <CharactersWithSpaces>6027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2021-11-05T02:11:00Z</dcterms:created>
  <dc:creator>wangxt</dc:creator>
  <cp:lastModifiedBy>qingliping</cp:lastModifiedBy>
  <dcterms:modified xsi:type="dcterms:W3CDTF">2022-01-07T00:46:16Z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